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3B74C" w14:textId="77777777" w:rsidR="00757227" w:rsidRPr="001B02C8" w:rsidRDefault="00757227" w:rsidP="00757227">
      <w:pPr>
        <w:pStyle w:val="Default"/>
        <w:jc w:val="right"/>
        <w:rPr>
          <w:rFonts w:asciiTheme="majorHAnsi" w:hAnsiTheme="majorHAnsi" w:cstheme="majorHAnsi"/>
          <w:color w:val="365F91" w:themeColor="accent1" w:themeShade="BF"/>
        </w:rPr>
      </w:pPr>
      <w:bookmarkStart w:id="0" w:name="_GoBack"/>
      <w:bookmarkEnd w:id="0"/>
      <w:r w:rsidRPr="001B02C8">
        <w:rPr>
          <w:rFonts w:asciiTheme="majorHAnsi" w:hAnsiTheme="majorHAnsi" w:cstheme="majorHAnsi"/>
          <w:noProof/>
          <w:lang w:eastAsia="cs-CZ"/>
        </w:rPr>
        <w:drawing>
          <wp:anchor distT="0" distB="0" distL="114300" distR="114300" simplePos="0" relativeHeight="251662336" behindDoc="1" locked="0" layoutInCell="1" allowOverlap="1" wp14:anchorId="6A5C0ABE" wp14:editId="6814FD7A">
            <wp:simplePos x="0" y="0"/>
            <wp:positionH relativeFrom="column">
              <wp:posOffset>-1378</wp:posOffset>
            </wp:positionH>
            <wp:positionV relativeFrom="paragraph">
              <wp:posOffset>-267335</wp:posOffset>
            </wp:positionV>
            <wp:extent cx="1698625" cy="798195"/>
            <wp:effectExtent l="0" t="0" r="0" b="0"/>
            <wp:wrapSquare wrapText="bothSides"/>
            <wp:docPr id="20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8625" cy="79819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anchor>
        </w:drawing>
      </w:r>
      <w:r w:rsidRPr="001B02C8">
        <w:rPr>
          <w:rStyle w:val="A1"/>
          <w:rFonts w:asciiTheme="majorHAnsi" w:hAnsiTheme="majorHAnsi" w:cstheme="majorHAnsi"/>
          <w:color w:val="365F91" w:themeColor="accent1" w:themeShade="BF"/>
          <w:sz w:val="24"/>
          <w:szCs w:val="24"/>
        </w:rPr>
        <w:t>Sekce digitalizace a inovací</w:t>
      </w:r>
    </w:p>
    <w:p w14:paraId="755BB90B" w14:textId="1FF6D40F" w:rsidR="00757227" w:rsidRPr="001B02C8" w:rsidRDefault="00183780" w:rsidP="00757227">
      <w:pPr>
        <w:ind w:left="4956" w:firstLine="708"/>
        <w:jc w:val="right"/>
        <w:rPr>
          <w:rStyle w:val="A1"/>
          <w:rFonts w:asciiTheme="majorHAnsi" w:hAnsiTheme="majorHAnsi" w:cstheme="majorHAnsi"/>
          <w:color w:val="365F91" w:themeColor="accent1" w:themeShade="BF"/>
          <w:sz w:val="24"/>
          <w:szCs w:val="24"/>
        </w:rPr>
      </w:pPr>
      <w:r>
        <w:rPr>
          <w:rStyle w:val="A1"/>
          <w:rFonts w:asciiTheme="majorHAnsi" w:hAnsiTheme="majorHAnsi" w:cstheme="majorHAnsi"/>
          <w:color w:val="365F91" w:themeColor="accent1" w:themeShade="BF"/>
          <w:sz w:val="24"/>
          <w:szCs w:val="24"/>
        </w:rPr>
        <w:t>Dub</w:t>
      </w:r>
      <w:r w:rsidR="00757227" w:rsidRPr="001B02C8">
        <w:rPr>
          <w:rStyle w:val="A1"/>
          <w:rFonts w:asciiTheme="majorHAnsi" w:hAnsiTheme="majorHAnsi" w:cstheme="majorHAnsi"/>
          <w:color w:val="365F91" w:themeColor="accent1" w:themeShade="BF"/>
          <w:sz w:val="24"/>
          <w:szCs w:val="24"/>
        </w:rPr>
        <w:t>en 201</w:t>
      </w:r>
      <w:r w:rsidR="00086D10">
        <w:rPr>
          <w:rStyle w:val="A1"/>
          <w:rFonts w:asciiTheme="majorHAnsi" w:hAnsiTheme="majorHAnsi" w:cstheme="majorHAnsi"/>
          <w:color w:val="365F91" w:themeColor="accent1" w:themeShade="BF"/>
          <w:sz w:val="24"/>
          <w:szCs w:val="24"/>
        </w:rPr>
        <w:t>9</w:t>
      </w:r>
    </w:p>
    <w:p w14:paraId="5AD6E46A" w14:textId="77777777" w:rsidR="00757227" w:rsidRDefault="00757227" w:rsidP="00757227">
      <w:pPr>
        <w:ind w:left="4956" w:firstLine="708"/>
        <w:jc w:val="right"/>
        <w:rPr>
          <w:rStyle w:val="A1"/>
          <w:color w:val="365F91" w:themeColor="accent1" w:themeShade="BF"/>
          <w:szCs w:val="24"/>
        </w:rPr>
      </w:pPr>
    </w:p>
    <w:p w14:paraId="01059572" w14:textId="77777777" w:rsidR="00757227" w:rsidRDefault="00757227" w:rsidP="00757227">
      <w:pPr>
        <w:ind w:left="4956" w:firstLine="708"/>
        <w:jc w:val="right"/>
        <w:rPr>
          <w:rStyle w:val="A1"/>
          <w:color w:val="365F91" w:themeColor="accent1" w:themeShade="BF"/>
          <w:szCs w:val="24"/>
        </w:rPr>
      </w:pPr>
    </w:p>
    <w:p w14:paraId="4E42EF36" w14:textId="77777777" w:rsidR="00AC4BBA" w:rsidRPr="00AC4BBA" w:rsidRDefault="00BD1ADD" w:rsidP="00AC4BBA">
      <w:pPr>
        <w:spacing w:after="0"/>
        <w:jc w:val="center"/>
        <w:rPr>
          <w:b/>
          <w:caps/>
          <w:noProof/>
          <w:color w:val="365F91" w:themeColor="accent1" w:themeShade="BF"/>
          <w:sz w:val="72"/>
          <w:szCs w:val="72"/>
        </w:rPr>
      </w:pPr>
      <w:r>
        <w:rPr>
          <w:b/>
          <w:caps/>
          <w:noProof/>
          <w:color w:val="365F91" w:themeColor="accent1" w:themeShade="BF"/>
          <w:sz w:val="72"/>
          <w:szCs w:val="72"/>
        </w:rPr>
        <w:t>hodnotící zpráva</w:t>
      </w:r>
    </w:p>
    <w:p w14:paraId="78DFB851" w14:textId="77777777" w:rsidR="00AC4BBA" w:rsidRDefault="00BD1ADD" w:rsidP="00AC4BBA">
      <w:pPr>
        <w:spacing w:after="0"/>
        <w:jc w:val="center"/>
        <w:rPr>
          <w:b/>
          <w:noProof/>
          <w:color w:val="365F91" w:themeColor="accent1" w:themeShade="BF"/>
          <w:sz w:val="72"/>
          <w:szCs w:val="72"/>
        </w:rPr>
      </w:pPr>
      <w:r>
        <w:rPr>
          <w:b/>
          <w:noProof/>
          <w:color w:val="365F91" w:themeColor="accent1" w:themeShade="BF"/>
          <w:sz w:val="72"/>
          <w:szCs w:val="72"/>
        </w:rPr>
        <w:t>k Národní RIS3 strategii</w:t>
      </w:r>
    </w:p>
    <w:p w14:paraId="39AEEE97" w14:textId="77777777" w:rsidR="00BD1ADD" w:rsidRPr="00757227" w:rsidRDefault="00BD1ADD" w:rsidP="00AC4BBA">
      <w:pPr>
        <w:spacing w:after="0"/>
        <w:jc w:val="center"/>
        <w:rPr>
          <w:b/>
          <w:noProof/>
          <w:color w:val="365F91" w:themeColor="accent1" w:themeShade="BF"/>
          <w:sz w:val="72"/>
          <w:szCs w:val="72"/>
        </w:rPr>
      </w:pPr>
      <w:r>
        <w:rPr>
          <w:b/>
          <w:noProof/>
          <w:color w:val="365F91" w:themeColor="accent1" w:themeShade="BF"/>
          <w:sz w:val="72"/>
          <w:szCs w:val="72"/>
        </w:rPr>
        <w:t>(2014-2020)</w:t>
      </w:r>
    </w:p>
    <w:p w14:paraId="0703F7BE" w14:textId="77777777" w:rsidR="00C44551" w:rsidRDefault="00C44551" w:rsidP="00AC4BBA">
      <w:pPr>
        <w:pStyle w:val="Bezmezer"/>
        <w:jc w:val="center"/>
        <w:rPr>
          <w:rFonts w:asciiTheme="minorHAnsi" w:hAnsiTheme="minorHAnsi"/>
          <w:color w:val="004B8D"/>
          <w:sz w:val="28"/>
          <w:szCs w:val="28"/>
        </w:rPr>
      </w:pPr>
    </w:p>
    <w:p w14:paraId="3E43E22E" w14:textId="77777777" w:rsidR="00AC4BBA" w:rsidRDefault="00AC4BBA" w:rsidP="000B21DF">
      <w:pPr>
        <w:pStyle w:val="Bezmezer"/>
        <w:rPr>
          <w:rFonts w:asciiTheme="majorHAnsi" w:hAnsiTheme="majorHAnsi"/>
        </w:rPr>
      </w:pPr>
    </w:p>
    <w:p w14:paraId="4D48D45A" w14:textId="77777777" w:rsidR="00AC4BBA" w:rsidRDefault="00AC4BBA" w:rsidP="000B21DF">
      <w:pPr>
        <w:pStyle w:val="Bezmezer"/>
        <w:rPr>
          <w:rFonts w:asciiTheme="majorHAnsi" w:hAnsiTheme="majorHAnsi"/>
        </w:rPr>
      </w:pPr>
    </w:p>
    <w:p w14:paraId="7E077222" w14:textId="77777777" w:rsidR="00AC4BBA" w:rsidRPr="008516FC" w:rsidRDefault="00AC4BBA" w:rsidP="000B21DF">
      <w:pPr>
        <w:pStyle w:val="Bezmezer"/>
        <w:rPr>
          <w:rFonts w:asciiTheme="majorHAnsi" w:hAnsiTheme="majorHAnsi"/>
        </w:rPr>
      </w:pPr>
    </w:p>
    <w:p w14:paraId="7EB282B3" w14:textId="77777777" w:rsidR="00D95BCB" w:rsidRPr="008516FC" w:rsidRDefault="00D95BCB" w:rsidP="000B21DF">
      <w:pPr>
        <w:pStyle w:val="Bezmezer"/>
        <w:rPr>
          <w:rFonts w:asciiTheme="majorHAnsi" w:hAnsiTheme="majorHAnsi"/>
        </w:rPr>
      </w:pPr>
    </w:p>
    <w:p w14:paraId="214D1314" w14:textId="77777777" w:rsidR="00D95BCB" w:rsidRPr="008516FC" w:rsidRDefault="00D95BCB" w:rsidP="000B21DF">
      <w:pPr>
        <w:pStyle w:val="Bezmezer"/>
        <w:rPr>
          <w:rFonts w:asciiTheme="majorHAnsi" w:hAnsiTheme="majorHAnsi"/>
        </w:rPr>
      </w:pPr>
    </w:p>
    <w:p w14:paraId="24E19818" w14:textId="77777777" w:rsidR="00787D4B" w:rsidRDefault="00031117">
      <w:pPr>
        <w:spacing w:before="0" w:after="0" w:line="240" w:lineRule="auto"/>
        <w:jc w:val="left"/>
        <w:rPr>
          <w:rFonts w:asciiTheme="majorHAnsi" w:hAnsiTheme="majorHAnsi"/>
        </w:rPr>
      </w:pPr>
      <w:r>
        <w:rPr>
          <w:rFonts w:asciiTheme="majorHAnsi" w:hAnsiTheme="majorHAnsi"/>
          <w:noProof/>
          <w:lang w:eastAsia="cs-CZ" w:bidi="ar-SA"/>
        </w:rPr>
        <w:drawing>
          <wp:anchor distT="0" distB="0" distL="114300" distR="114300" simplePos="0" relativeHeight="251661312" behindDoc="1" locked="0" layoutInCell="1" allowOverlap="1" wp14:anchorId="084D2517" wp14:editId="129488D3">
            <wp:simplePos x="0" y="0"/>
            <wp:positionH relativeFrom="column">
              <wp:posOffset>1155065</wp:posOffset>
            </wp:positionH>
            <wp:positionV relativeFrom="paragraph">
              <wp:posOffset>427990</wp:posOffset>
            </wp:positionV>
            <wp:extent cx="5518150" cy="4382135"/>
            <wp:effectExtent l="19050" t="0" r="6350" b="0"/>
            <wp:wrapNone/>
            <wp:docPr id="206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18150" cy="4382135"/>
                    </a:xfrm>
                    <a:prstGeom prst="rect">
                      <a:avLst/>
                    </a:prstGeom>
                    <a:noFill/>
                    <a:ln>
                      <a:noFill/>
                    </a:ln>
                    <a:effectLst/>
                    <a:extLst/>
                  </pic:spPr>
                </pic:pic>
              </a:graphicData>
            </a:graphic>
          </wp:anchor>
        </w:drawing>
      </w:r>
      <w:r w:rsidR="00787D4B">
        <w:rPr>
          <w:rFonts w:asciiTheme="majorHAnsi" w:hAnsiTheme="majorHAnsi"/>
        </w:rPr>
        <w:br w:type="page"/>
      </w:r>
    </w:p>
    <w:sdt>
      <w:sdtPr>
        <w:rPr>
          <w:b w:val="0"/>
          <w:bCs w:val="0"/>
          <w:color w:val="auto"/>
          <w:spacing w:val="4"/>
          <w:sz w:val="22"/>
          <w:szCs w:val="20"/>
        </w:rPr>
        <w:id w:val="1421955329"/>
        <w:docPartObj>
          <w:docPartGallery w:val="Table of Contents"/>
          <w:docPartUnique/>
        </w:docPartObj>
      </w:sdtPr>
      <w:sdtEndPr/>
      <w:sdtContent>
        <w:p w14:paraId="7D94A289" w14:textId="77777777" w:rsidR="00885A8A" w:rsidRPr="008E50DD" w:rsidRDefault="00885A8A" w:rsidP="00246ECF">
          <w:pPr>
            <w:pStyle w:val="Nadpisobsahu"/>
            <w:numPr>
              <w:ilvl w:val="0"/>
              <w:numId w:val="0"/>
            </w:numPr>
            <w:pBdr>
              <w:top w:val="none" w:sz="0" w:space="0" w:color="auto"/>
              <w:left w:val="none" w:sz="0" w:space="0" w:color="auto"/>
            </w:pBdr>
            <w:rPr>
              <w:rFonts w:asciiTheme="majorHAnsi" w:eastAsiaTheme="majorEastAsia" w:hAnsiTheme="majorHAnsi" w:cstheme="majorHAnsi"/>
              <w:color w:val="004B8D"/>
              <w:spacing w:val="0"/>
              <w:sz w:val="32"/>
              <w:szCs w:val="32"/>
              <w:lang w:bidi="ar-SA"/>
            </w:rPr>
          </w:pPr>
          <w:r w:rsidRPr="008E50DD">
            <w:rPr>
              <w:rFonts w:asciiTheme="majorHAnsi" w:eastAsiaTheme="majorEastAsia" w:hAnsiTheme="majorHAnsi" w:cstheme="majorHAnsi"/>
              <w:color w:val="004B8D"/>
              <w:spacing w:val="0"/>
              <w:sz w:val="32"/>
              <w:szCs w:val="32"/>
              <w:lang w:bidi="ar-SA"/>
            </w:rPr>
            <w:t>Obsah</w:t>
          </w:r>
        </w:p>
        <w:p w14:paraId="4A2C6F75" w14:textId="77777777" w:rsidR="00E16011" w:rsidRDefault="008A090D">
          <w:pPr>
            <w:pStyle w:val="Obsah1"/>
            <w:rPr>
              <w:rFonts w:asciiTheme="minorHAnsi" w:eastAsiaTheme="minorEastAsia" w:hAnsiTheme="minorHAnsi" w:cstheme="minorBidi"/>
              <w:b w:val="0"/>
              <w:bCs w:val="0"/>
              <w:caps w:val="0"/>
              <w:noProof/>
              <w:spacing w:val="0"/>
              <w:szCs w:val="22"/>
              <w:lang w:eastAsia="cs-CZ" w:bidi="ar-SA"/>
            </w:rPr>
          </w:pPr>
          <w:r w:rsidRPr="00470046">
            <w:fldChar w:fldCharType="begin"/>
          </w:r>
          <w:r w:rsidR="00885A8A" w:rsidRPr="00470046">
            <w:instrText xml:space="preserve"> TOC \o "1-3" \h \z \u </w:instrText>
          </w:r>
          <w:r w:rsidRPr="00470046">
            <w:fldChar w:fldCharType="separate"/>
          </w:r>
          <w:hyperlink w:anchor="_Toc5626433" w:history="1">
            <w:r w:rsidR="00E16011" w:rsidRPr="0072309B">
              <w:rPr>
                <w:rStyle w:val="Hypertextovodkaz"/>
                <w:rFonts w:asciiTheme="majorHAnsi" w:eastAsiaTheme="majorEastAsia" w:hAnsiTheme="majorHAnsi" w:cstheme="majorBidi"/>
                <w:noProof/>
              </w:rPr>
              <w:t>Manažerské shrnutí</w:t>
            </w:r>
            <w:r w:rsidR="00E16011">
              <w:rPr>
                <w:noProof/>
                <w:webHidden/>
              </w:rPr>
              <w:tab/>
            </w:r>
            <w:r>
              <w:rPr>
                <w:noProof/>
                <w:webHidden/>
              </w:rPr>
              <w:fldChar w:fldCharType="begin"/>
            </w:r>
            <w:r w:rsidR="00E16011">
              <w:rPr>
                <w:noProof/>
                <w:webHidden/>
              </w:rPr>
              <w:instrText xml:space="preserve"> PAGEREF _Toc5626433 \h </w:instrText>
            </w:r>
            <w:r>
              <w:rPr>
                <w:noProof/>
                <w:webHidden/>
              </w:rPr>
            </w:r>
            <w:r>
              <w:rPr>
                <w:noProof/>
                <w:webHidden/>
              </w:rPr>
              <w:fldChar w:fldCharType="separate"/>
            </w:r>
            <w:r w:rsidR="00E5552A">
              <w:rPr>
                <w:noProof/>
                <w:webHidden/>
              </w:rPr>
              <w:t>10</w:t>
            </w:r>
            <w:r>
              <w:rPr>
                <w:noProof/>
                <w:webHidden/>
              </w:rPr>
              <w:fldChar w:fldCharType="end"/>
            </w:r>
          </w:hyperlink>
        </w:p>
        <w:p w14:paraId="25BCC7ED" w14:textId="77777777" w:rsidR="00E16011" w:rsidRDefault="009B14C0">
          <w:pPr>
            <w:pStyle w:val="Obsah1"/>
            <w:rPr>
              <w:rFonts w:asciiTheme="minorHAnsi" w:eastAsiaTheme="minorEastAsia" w:hAnsiTheme="minorHAnsi" w:cstheme="minorBidi"/>
              <w:b w:val="0"/>
              <w:bCs w:val="0"/>
              <w:caps w:val="0"/>
              <w:noProof/>
              <w:spacing w:val="0"/>
              <w:szCs w:val="22"/>
              <w:lang w:eastAsia="cs-CZ" w:bidi="ar-SA"/>
            </w:rPr>
          </w:pPr>
          <w:hyperlink w:anchor="_Toc5626434" w:history="1">
            <w:r w:rsidR="00E16011" w:rsidRPr="0072309B">
              <w:rPr>
                <w:rStyle w:val="Hypertextovodkaz"/>
                <w:rFonts w:asciiTheme="majorHAnsi" w:eastAsiaTheme="majorEastAsia" w:hAnsiTheme="majorHAnsi" w:cstheme="majorBidi"/>
                <w:noProof/>
              </w:rPr>
              <w:t>1. Úvod a kontext evaluace</w:t>
            </w:r>
            <w:r w:rsidR="00E16011">
              <w:rPr>
                <w:noProof/>
                <w:webHidden/>
              </w:rPr>
              <w:tab/>
            </w:r>
            <w:r w:rsidR="008A090D">
              <w:rPr>
                <w:noProof/>
                <w:webHidden/>
              </w:rPr>
              <w:fldChar w:fldCharType="begin"/>
            </w:r>
            <w:r w:rsidR="00E16011">
              <w:rPr>
                <w:noProof/>
                <w:webHidden/>
              </w:rPr>
              <w:instrText xml:space="preserve"> PAGEREF _Toc5626434 \h </w:instrText>
            </w:r>
            <w:r w:rsidR="008A090D">
              <w:rPr>
                <w:noProof/>
                <w:webHidden/>
              </w:rPr>
            </w:r>
            <w:r w:rsidR="008A090D">
              <w:rPr>
                <w:noProof/>
                <w:webHidden/>
              </w:rPr>
              <w:fldChar w:fldCharType="separate"/>
            </w:r>
            <w:r w:rsidR="00E5552A">
              <w:rPr>
                <w:noProof/>
                <w:webHidden/>
              </w:rPr>
              <w:t>15</w:t>
            </w:r>
            <w:r w:rsidR="008A090D">
              <w:rPr>
                <w:noProof/>
                <w:webHidden/>
              </w:rPr>
              <w:fldChar w:fldCharType="end"/>
            </w:r>
          </w:hyperlink>
        </w:p>
        <w:p w14:paraId="564EA291" w14:textId="77777777" w:rsidR="00E16011" w:rsidRDefault="009B14C0">
          <w:pPr>
            <w:pStyle w:val="Obsah2"/>
            <w:tabs>
              <w:tab w:val="right" w:leader="dot" w:pos="9062"/>
            </w:tabs>
            <w:rPr>
              <w:rFonts w:asciiTheme="minorHAnsi" w:eastAsiaTheme="minorEastAsia" w:hAnsiTheme="minorHAnsi" w:cstheme="minorBidi"/>
              <w:smallCaps w:val="0"/>
              <w:noProof/>
              <w:spacing w:val="0"/>
              <w:szCs w:val="22"/>
              <w:lang w:eastAsia="cs-CZ" w:bidi="ar-SA"/>
            </w:rPr>
          </w:pPr>
          <w:hyperlink w:anchor="_Toc5626435" w:history="1">
            <w:r w:rsidR="00E16011" w:rsidRPr="0072309B">
              <w:rPr>
                <w:rStyle w:val="Hypertextovodkaz"/>
                <w:rFonts w:asciiTheme="majorHAnsi" w:eastAsiaTheme="majorEastAsia" w:hAnsiTheme="majorHAnsi" w:cstheme="majorBidi"/>
                <w:bCs/>
                <w:noProof/>
              </w:rPr>
              <w:t>1.1 Cíle evaluace</w:t>
            </w:r>
            <w:r w:rsidR="00E16011">
              <w:rPr>
                <w:noProof/>
                <w:webHidden/>
              </w:rPr>
              <w:tab/>
            </w:r>
            <w:r w:rsidR="008A090D">
              <w:rPr>
                <w:noProof/>
                <w:webHidden/>
              </w:rPr>
              <w:fldChar w:fldCharType="begin"/>
            </w:r>
            <w:r w:rsidR="00E16011">
              <w:rPr>
                <w:noProof/>
                <w:webHidden/>
              </w:rPr>
              <w:instrText xml:space="preserve"> PAGEREF _Toc5626435 \h </w:instrText>
            </w:r>
            <w:r w:rsidR="008A090D">
              <w:rPr>
                <w:noProof/>
                <w:webHidden/>
              </w:rPr>
            </w:r>
            <w:r w:rsidR="008A090D">
              <w:rPr>
                <w:noProof/>
                <w:webHidden/>
              </w:rPr>
              <w:fldChar w:fldCharType="separate"/>
            </w:r>
            <w:r w:rsidR="00E5552A">
              <w:rPr>
                <w:noProof/>
                <w:webHidden/>
              </w:rPr>
              <w:t>15</w:t>
            </w:r>
            <w:r w:rsidR="008A090D">
              <w:rPr>
                <w:noProof/>
                <w:webHidden/>
              </w:rPr>
              <w:fldChar w:fldCharType="end"/>
            </w:r>
          </w:hyperlink>
        </w:p>
        <w:p w14:paraId="21BF7BDB" w14:textId="77777777" w:rsidR="00E16011" w:rsidRDefault="009B14C0">
          <w:pPr>
            <w:pStyle w:val="Obsah2"/>
            <w:tabs>
              <w:tab w:val="right" w:leader="dot" w:pos="9062"/>
            </w:tabs>
            <w:rPr>
              <w:rFonts w:asciiTheme="minorHAnsi" w:eastAsiaTheme="minorEastAsia" w:hAnsiTheme="minorHAnsi" w:cstheme="minorBidi"/>
              <w:smallCaps w:val="0"/>
              <w:noProof/>
              <w:spacing w:val="0"/>
              <w:szCs w:val="22"/>
              <w:lang w:eastAsia="cs-CZ" w:bidi="ar-SA"/>
            </w:rPr>
          </w:pPr>
          <w:hyperlink w:anchor="_Toc5626436" w:history="1">
            <w:r w:rsidR="00E16011" w:rsidRPr="0072309B">
              <w:rPr>
                <w:rStyle w:val="Hypertextovodkaz"/>
                <w:rFonts w:asciiTheme="majorHAnsi" w:eastAsiaTheme="majorEastAsia" w:hAnsiTheme="majorHAnsi" w:cstheme="majorBidi"/>
                <w:bCs/>
                <w:noProof/>
              </w:rPr>
              <w:t>1.2 Průběh evaluace a metodická specifikace</w:t>
            </w:r>
            <w:r w:rsidR="00E16011">
              <w:rPr>
                <w:noProof/>
                <w:webHidden/>
              </w:rPr>
              <w:tab/>
            </w:r>
            <w:r w:rsidR="008A090D">
              <w:rPr>
                <w:noProof/>
                <w:webHidden/>
              </w:rPr>
              <w:fldChar w:fldCharType="begin"/>
            </w:r>
            <w:r w:rsidR="00E16011">
              <w:rPr>
                <w:noProof/>
                <w:webHidden/>
              </w:rPr>
              <w:instrText xml:space="preserve"> PAGEREF _Toc5626436 \h </w:instrText>
            </w:r>
            <w:r w:rsidR="008A090D">
              <w:rPr>
                <w:noProof/>
                <w:webHidden/>
              </w:rPr>
            </w:r>
            <w:r w:rsidR="008A090D">
              <w:rPr>
                <w:noProof/>
                <w:webHidden/>
              </w:rPr>
              <w:fldChar w:fldCharType="separate"/>
            </w:r>
            <w:r w:rsidR="00E5552A">
              <w:rPr>
                <w:noProof/>
                <w:webHidden/>
              </w:rPr>
              <w:t>16</w:t>
            </w:r>
            <w:r w:rsidR="008A090D">
              <w:rPr>
                <w:noProof/>
                <w:webHidden/>
              </w:rPr>
              <w:fldChar w:fldCharType="end"/>
            </w:r>
          </w:hyperlink>
        </w:p>
        <w:p w14:paraId="49FF389B"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37" w:history="1">
            <w:r w:rsidR="00E16011" w:rsidRPr="0072309B">
              <w:rPr>
                <w:rStyle w:val="Hypertextovodkaz"/>
                <w:rFonts w:asciiTheme="majorHAnsi" w:eastAsiaTheme="majorEastAsia" w:hAnsiTheme="majorHAnsi" w:cstheme="majorHAnsi"/>
                <w:caps/>
                <w:noProof/>
              </w:rPr>
              <w:t>1.2.1 Harmonogram evaluace</w:t>
            </w:r>
            <w:r w:rsidR="00E16011">
              <w:rPr>
                <w:noProof/>
                <w:webHidden/>
              </w:rPr>
              <w:tab/>
            </w:r>
            <w:r w:rsidR="008A090D">
              <w:rPr>
                <w:noProof/>
                <w:webHidden/>
              </w:rPr>
              <w:fldChar w:fldCharType="begin"/>
            </w:r>
            <w:r w:rsidR="00E16011">
              <w:rPr>
                <w:noProof/>
                <w:webHidden/>
              </w:rPr>
              <w:instrText xml:space="preserve"> PAGEREF _Toc5626437 \h </w:instrText>
            </w:r>
            <w:r w:rsidR="008A090D">
              <w:rPr>
                <w:noProof/>
                <w:webHidden/>
              </w:rPr>
            </w:r>
            <w:r w:rsidR="008A090D">
              <w:rPr>
                <w:noProof/>
                <w:webHidden/>
              </w:rPr>
              <w:fldChar w:fldCharType="separate"/>
            </w:r>
            <w:r w:rsidR="00E5552A">
              <w:rPr>
                <w:noProof/>
                <w:webHidden/>
              </w:rPr>
              <w:t>16</w:t>
            </w:r>
            <w:r w:rsidR="008A090D">
              <w:rPr>
                <w:noProof/>
                <w:webHidden/>
              </w:rPr>
              <w:fldChar w:fldCharType="end"/>
            </w:r>
          </w:hyperlink>
        </w:p>
        <w:p w14:paraId="5F2B670D"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38" w:history="1">
            <w:r w:rsidR="00E16011" w:rsidRPr="0072309B">
              <w:rPr>
                <w:rStyle w:val="Hypertextovodkaz"/>
                <w:rFonts w:asciiTheme="majorHAnsi" w:eastAsiaTheme="majorEastAsia" w:hAnsiTheme="majorHAnsi" w:cstheme="majorHAnsi"/>
                <w:caps/>
                <w:noProof/>
              </w:rPr>
              <w:t>1.2.2 Metodický přístup</w:t>
            </w:r>
            <w:r w:rsidR="00E16011">
              <w:rPr>
                <w:noProof/>
                <w:webHidden/>
              </w:rPr>
              <w:tab/>
            </w:r>
            <w:r w:rsidR="008A090D">
              <w:rPr>
                <w:noProof/>
                <w:webHidden/>
              </w:rPr>
              <w:fldChar w:fldCharType="begin"/>
            </w:r>
            <w:r w:rsidR="00E16011">
              <w:rPr>
                <w:noProof/>
                <w:webHidden/>
              </w:rPr>
              <w:instrText xml:space="preserve"> PAGEREF _Toc5626438 \h </w:instrText>
            </w:r>
            <w:r w:rsidR="008A090D">
              <w:rPr>
                <w:noProof/>
                <w:webHidden/>
              </w:rPr>
            </w:r>
            <w:r w:rsidR="008A090D">
              <w:rPr>
                <w:noProof/>
                <w:webHidden/>
              </w:rPr>
              <w:fldChar w:fldCharType="separate"/>
            </w:r>
            <w:r w:rsidR="00E5552A">
              <w:rPr>
                <w:noProof/>
                <w:webHidden/>
              </w:rPr>
              <w:t>17</w:t>
            </w:r>
            <w:r w:rsidR="008A090D">
              <w:rPr>
                <w:noProof/>
                <w:webHidden/>
              </w:rPr>
              <w:fldChar w:fldCharType="end"/>
            </w:r>
          </w:hyperlink>
        </w:p>
        <w:p w14:paraId="1F1D4846" w14:textId="77777777" w:rsidR="00E16011" w:rsidRDefault="009B14C0">
          <w:pPr>
            <w:pStyle w:val="Obsah2"/>
            <w:tabs>
              <w:tab w:val="right" w:leader="dot" w:pos="9062"/>
            </w:tabs>
            <w:rPr>
              <w:rFonts w:asciiTheme="minorHAnsi" w:eastAsiaTheme="minorEastAsia" w:hAnsiTheme="minorHAnsi" w:cstheme="minorBidi"/>
              <w:smallCaps w:val="0"/>
              <w:noProof/>
              <w:spacing w:val="0"/>
              <w:szCs w:val="22"/>
              <w:lang w:eastAsia="cs-CZ" w:bidi="ar-SA"/>
            </w:rPr>
          </w:pPr>
          <w:hyperlink w:anchor="_Toc5626439" w:history="1">
            <w:r w:rsidR="00E16011" w:rsidRPr="0072309B">
              <w:rPr>
                <w:rStyle w:val="Hypertextovodkaz"/>
                <w:rFonts w:asciiTheme="majorHAnsi" w:eastAsiaTheme="majorEastAsia" w:hAnsiTheme="majorHAnsi" w:cstheme="majorBidi"/>
                <w:bCs/>
                <w:noProof/>
              </w:rPr>
              <w:t>1.3 Limity evaluace</w:t>
            </w:r>
            <w:r w:rsidR="00E16011">
              <w:rPr>
                <w:noProof/>
                <w:webHidden/>
              </w:rPr>
              <w:tab/>
            </w:r>
            <w:r w:rsidR="008A090D">
              <w:rPr>
                <w:noProof/>
                <w:webHidden/>
              </w:rPr>
              <w:fldChar w:fldCharType="begin"/>
            </w:r>
            <w:r w:rsidR="00E16011">
              <w:rPr>
                <w:noProof/>
                <w:webHidden/>
              </w:rPr>
              <w:instrText xml:space="preserve"> PAGEREF _Toc5626439 \h </w:instrText>
            </w:r>
            <w:r w:rsidR="008A090D">
              <w:rPr>
                <w:noProof/>
                <w:webHidden/>
              </w:rPr>
            </w:r>
            <w:r w:rsidR="008A090D">
              <w:rPr>
                <w:noProof/>
                <w:webHidden/>
              </w:rPr>
              <w:fldChar w:fldCharType="separate"/>
            </w:r>
            <w:r w:rsidR="00E5552A">
              <w:rPr>
                <w:noProof/>
                <w:webHidden/>
              </w:rPr>
              <w:t>18</w:t>
            </w:r>
            <w:r w:rsidR="008A090D">
              <w:rPr>
                <w:noProof/>
                <w:webHidden/>
              </w:rPr>
              <w:fldChar w:fldCharType="end"/>
            </w:r>
          </w:hyperlink>
        </w:p>
        <w:p w14:paraId="416A6425" w14:textId="77777777" w:rsidR="00E16011" w:rsidRDefault="009B14C0">
          <w:pPr>
            <w:pStyle w:val="Obsah1"/>
            <w:rPr>
              <w:rFonts w:asciiTheme="minorHAnsi" w:eastAsiaTheme="minorEastAsia" w:hAnsiTheme="minorHAnsi" w:cstheme="minorBidi"/>
              <w:b w:val="0"/>
              <w:bCs w:val="0"/>
              <w:caps w:val="0"/>
              <w:noProof/>
              <w:spacing w:val="0"/>
              <w:szCs w:val="22"/>
              <w:lang w:eastAsia="cs-CZ" w:bidi="ar-SA"/>
            </w:rPr>
          </w:pPr>
          <w:hyperlink w:anchor="_Toc5626440" w:history="1">
            <w:r w:rsidR="00E16011" w:rsidRPr="0072309B">
              <w:rPr>
                <w:rStyle w:val="Hypertextovodkaz"/>
                <w:rFonts w:asciiTheme="majorHAnsi" w:eastAsiaTheme="majorEastAsia" w:hAnsiTheme="majorHAnsi" w:cstheme="majorBidi"/>
                <w:noProof/>
              </w:rPr>
              <w:t>2. Národní RIS3 strategie ČR</w:t>
            </w:r>
            <w:r w:rsidR="00E16011">
              <w:rPr>
                <w:noProof/>
                <w:webHidden/>
              </w:rPr>
              <w:tab/>
            </w:r>
            <w:r w:rsidR="008A090D">
              <w:rPr>
                <w:noProof/>
                <w:webHidden/>
              </w:rPr>
              <w:fldChar w:fldCharType="begin"/>
            </w:r>
            <w:r w:rsidR="00E16011">
              <w:rPr>
                <w:noProof/>
                <w:webHidden/>
              </w:rPr>
              <w:instrText xml:space="preserve"> PAGEREF _Toc5626440 \h </w:instrText>
            </w:r>
            <w:r w:rsidR="008A090D">
              <w:rPr>
                <w:noProof/>
                <w:webHidden/>
              </w:rPr>
            </w:r>
            <w:r w:rsidR="008A090D">
              <w:rPr>
                <w:noProof/>
                <w:webHidden/>
              </w:rPr>
              <w:fldChar w:fldCharType="separate"/>
            </w:r>
            <w:r w:rsidR="00E5552A">
              <w:rPr>
                <w:noProof/>
                <w:webHidden/>
              </w:rPr>
              <w:t>20</w:t>
            </w:r>
            <w:r w:rsidR="008A090D">
              <w:rPr>
                <w:noProof/>
                <w:webHidden/>
              </w:rPr>
              <w:fldChar w:fldCharType="end"/>
            </w:r>
          </w:hyperlink>
        </w:p>
        <w:p w14:paraId="2990BA8E" w14:textId="77777777" w:rsidR="00E16011" w:rsidRDefault="009B14C0">
          <w:pPr>
            <w:pStyle w:val="Obsah2"/>
            <w:tabs>
              <w:tab w:val="right" w:leader="dot" w:pos="9062"/>
            </w:tabs>
            <w:rPr>
              <w:rFonts w:asciiTheme="minorHAnsi" w:eastAsiaTheme="minorEastAsia" w:hAnsiTheme="minorHAnsi" w:cstheme="minorBidi"/>
              <w:smallCaps w:val="0"/>
              <w:noProof/>
              <w:spacing w:val="0"/>
              <w:szCs w:val="22"/>
              <w:lang w:eastAsia="cs-CZ" w:bidi="ar-SA"/>
            </w:rPr>
          </w:pPr>
          <w:hyperlink w:anchor="_Toc5626441" w:history="1">
            <w:r w:rsidR="00E16011" w:rsidRPr="0072309B">
              <w:rPr>
                <w:rStyle w:val="Hypertextovodkaz"/>
                <w:rFonts w:asciiTheme="majorHAnsi" w:eastAsiaTheme="majorEastAsia" w:hAnsiTheme="majorHAnsi" w:cstheme="majorBidi"/>
                <w:bCs/>
                <w:noProof/>
              </w:rPr>
              <w:t>2.1 Východiska vzniku Národní RIS3 strategie – účel S3 strategií v evropském kontextu</w:t>
            </w:r>
            <w:r w:rsidR="00E16011">
              <w:rPr>
                <w:noProof/>
                <w:webHidden/>
              </w:rPr>
              <w:tab/>
            </w:r>
            <w:r w:rsidR="008A090D">
              <w:rPr>
                <w:noProof/>
                <w:webHidden/>
              </w:rPr>
              <w:fldChar w:fldCharType="begin"/>
            </w:r>
            <w:r w:rsidR="00E16011">
              <w:rPr>
                <w:noProof/>
                <w:webHidden/>
              </w:rPr>
              <w:instrText xml:space="preserve"> PAGEREF _Toc5626441 \h </w:instrText>
            </w:r>
            <w:r w:rsidR="008A090D">
              <w:rPr>
                <w:noProof/>
                <w:webHidden/>
              </w:rPr>
            </w:r>
            <w:r w:rsidR="008A090D">
              <w:rPr>
                <w:noProof/>
                <w:webHidden/>
              </w:rPr>
              <w:fldChar w:fldCharType="separate"/>
            </w:r>
            <w:r w:rsidR="00E5552A">
              <w:rPr>
                <w:noProof/>
                <w:webHidden/>
              </w:rPr>
              <w:t>20</w:t>
            </w:r>
            <w:r w:rsidR="008A090D">
              <w:rPr>
                <w:noProof/>
                <w:webHidden/>
              </w:rPr>
              <w:fldChar w:fldCharType="end"/>
            </w:r>
          </w:hyperlink>
        </w:p>
        <w:p w14:paraId="3051AEA1" w14:textId="77777777" w:rsidR="00E16011" w:rsidRDefault="009B14C0">
          <w:pPr>
            <w:pStyle w:val="Obsah2"/>
            <w:tabs>
              <w:tab w:val="right" w:leader="dot" w:pos="9062"/>
            </w:tabs>
            <w:rPr>
              <w:rFonts w:asciiTheme="minorHAnsi" w:eastAsiaTheme="minorEastAsia" w:hAnsiTheme="minorHAnsi" w:cstheme="minorBidi"/>
              <w:smallCaps w:val="0"/>
              <w:noProof/>
              <w:spacing w:val="0"/>
              <w:szCs w:val="22"/>
              <w:lang w:eastAsia="cs-CZ" w:bidi="ar-SA"/>
            </w:rPr>
          </w:pPr>
          <w:hyperlink w:anchor="_Toc5626442" w:history="1">
            <w:r w:rsidR="00E16011" w:rsidRPr="0072309B">
              <w:rPr>
                <w:rStyle w:val="Hypertextovodkaz"/>
                <w:rFonts w:asciiTheme="majorHAnsi" w:eastAsiaTheme="majorEastAsia" w:hAnsiTheme="majorHAnsi" w:cstheme="majorBidi"/>
                <w:bCs/>
                <w:noProof/>
              </w:rPr>
              <w:t>2.2 Kontext vzniku Národní RIS3 strategie</w:t>
            </w:r>
            <w:r w:rsidR="00E16011">
              <w:rPr>
                <w:noProof/>
                <w:webHidden/>
              </w:rPr>
              <w:tab/>
            </w:r>
            <w:r w:rsidR="008A090D">
              <w:rPr>
                <w:noProof/>
                <w:webHidden/>
              </w:rPr>
              <w:fldChar w:fldCharType="begin"/>
            </w:r>
            <w:r w:rsidR="00E16011">
              <w:rPr>
                <w:noProof/>
                <w:webHidden/>
              </w:rPr>
              <w:instrText xml:space="preserve"> PAGEREF _Toc5626442 \h </w:instrText>
            </w:r>
            <w:r w:rsidR="008A090D">
              <w:rPr>
                <w:noProof/>
                <w:webHidden/>
              </w:rPr>
            </w:r>
            <w:r w:rsidR="008A090D">
              <w:rPr>
                <w:noProof/>
                <w:webHidden/>
              </w:rPr>
              <w:fldChar w:fldCharType="separate"/>
            </w:r>
            <w:r w:rsidR="00E5552A">
              <w:rPr>
                <w:noProof/>
                <w:webHidden/>
              </w:rPr>
              <w:t>21</w:t>
            </w:r>
            <w:r w:rsidR="008A090D">
              <w:rPr>
                <w:noProof/>
                <w:webHidden/>
              </w:rPr>
              <w:fldChar w:fldCharType="end"/>
            </w:r>
          </w:hyperlink>
        </w:p>
        <w:p w14:paraId="48A5368C" w14:textId="77777777" w:rsidR="00E16011" w:rsidRDefault="009B14C0">
          <w:pPr>
            <w:pStyle w:val="Obsah2"/>
            <w:tabs>
              <w:tab w:val="right" w:leader="dot" w:pos="9062"/>
            </w:tabs>
            <w:rPr>
              <w:rFonts w:asciiTheme="minorHAnsi" w:eastAsiaTheme="minorEastAsia" w:hAnsiTheme="minorHAnsi" w:cstheme="minorBidi"/>
              <w:smallCaps w:val="0"/>
              <w:noProof/>
              <w:spacing w:val="0"/>
              <w:szCs w:val="22"/>
              <w:lang w:eastAsia="cs-CZ" w:bidi="ar-SA"/>
            </w:rPr>
          </w:pPr>
          <w:hyperlink w:anchor="_Toc5626443" w:history="1">
            <w:r w:rsidR="00E16011" w:rsidRPr="0072309B">
              <w:rPr>
                <w:rStyle w:val="Hypertextovodkaz"/>
                <w:rFonts w:asciiTheme="majorHAnsi" w:eastAsiaTheme="majorEastAsia" w:hAnsiTheme="majorHAnsi" w:cstheme="majorBidi"/>
                <w:bCs/>
                <w:noProof/>
              </w:rPr>
              <w:t>2.3 Struktura Národní RIS3 strategie</w:t>
            </w:r>
            <w:r w:rsidR="00E16011">
              <w:rPr>
                <w:noProof/>
                <w:webHidden/>
              </w:rPr>
              <w:tab/>
            </w:r>
            <w:r w:rsidR="008A090D">
              <w:rPr>
                <w:noProof/>
                <w:webHidden/>
              </w:rPr>
              <w:fldChar w:fldCharType="begin"/>
            </w:r>
            <w:r w:rsidR="00E16011">
              <w:rPr>
                <w:noProof/>
                <w:webHidden/>
              </w:rPr>
              <w:instrText xml:space="preserve"> PAGEREF _Toc5626443 \h </w:instrText>
            </w:r>
            <w:r w:rsidR="008A090D">
              <w:rPr>
                <w:noProof/>
                <w:webHidden/>
              </w:rPr>
            </w:r>
            <w:r w:rsidR="008A090D">
              <w:rPr>
                <w:noProof/>
                <w:webHidden/>
              </w:rPr>
              <w:fldChar w:fldCharType="separate"/>
            </w:r>
            <w:r w:rsidR="00E5552A">
              <w:rPr>
                <w:noProof/>
                <w:webHidden/>
              </w:rPr>
              <w:t>22</w:t>
            </w:r>
            <w:r w:rsidR="008A090D">
              <w:rPr>
                <w:noProof/>
                <w:webHidden/>
              </w:rPr>
              <w:fldChar w:fldCharType="end"/>
            </w:r>
          </w:hyperlink>
        </w:p>
        <w:p w14:paraId="052A6D75" w14:textId="77777777" w:rsidR="00E16011" w:rsidRDefault="009B14C0">
          <w:pPr>
            <w:pStyle w:val="Obsah1"/>
            <w:rPr>
              <w:rFonts w:asciiTheme="minorHAnsi" w:eastAsiaTheme="minorEastAsia" w:hAnsiTheme="minorHAnsi" w:cstheme="minorBidi"/>
              <w:b w:val="0"/>
              <w:bCs w:val="0"/>
              <w:caps w:val="0"/>
              <w:noProof/>
              <w:spacing w:val="0"/>
              <w:szCs w:val="22"/>
              <w:lang w:eastAsia="cs-CZ" w:bidi="ar-SA"/>
            </w:rPr>
          </w:pPr>
          <w:hyperlink w:anchor="_Toc5626444" w:history="1">
            <w:r w:rsidR="00E16011" w:rsidRPr="0072309B">
              <w:rPr>
                <w:rStyle w:val="Hypertextovodkaz"/>
                <w:rFonts w:asciiTheme="majorHAnsi" w:eastAsiaTheme="majorEastAsia" w:hAnsiTheme="majorHAnsi" w:cstheme="majorBidi"/>
                <w:noProof/>
              </w:rPr>
              <w:t>3. Evaluační okruh I. - Ověření aktuálnosti zacílení RIS3 ve vztahu k vývoji vnějšího prostředí</w:t>
            </w:r>
            <w:r w:rsidR="00E16011">
              <w:rPr>
                <w:noProof/>
                <w:webHidden/>
              </w:rPr>
              <w:tab/>
            </w:r>
            <w:r w:rsidR="008A090D">
              <w:rPr>
                <w:noProof/>
                <w:webHidden/>
              </w:rPr>
              <w:fldChar w:fldCharType="begin"/>
            </w:r>
            <w:r w:rsidR="00E16011">
              <w:rPr>
                <w:noProof/>
                <w:webHidden/>
              </w:rPr>
              <w:instrText xml:space="preserve"> PAGEREF _Toc5626444 \h </w:instrText>
            </w:r>
            <w:r w:rsidR="008A090D">
              <w:rPr>
                <w:noProof/>
                <w:webHidden/>
              </w:rPr>
            </w:r>
            <w:r w:rsidR="008A090D">
              <w:rPr>
                <w:noProof/>
                <w:webHidden/>
              </w:rPr>
              <w:fldChar w:fldCharType="separate"/>
            </w:r>
            <w:r w:rsidR="00E5552A">
              <w:rPr>
                <w:noProof/>
                <w:webHidden/>
              </w:rPr>
              <w:t>24</w:t>
            </w:r>
            <w:r w:rsidR="008A090D">
              <w:rPr>
                <w:noProof/>
                <w:webHidden/>
              </w:rPr>
              <w:fldChar w:fldCharType="end"/>
            </w:r>
          </w:hyperlink>
        </w:p>
        <w:p w14:paraId="47B5D7C0" w14:textId="77777777" w:rsidR="00E16011" w:rsidRDefault="009B14C0">
          <w:pPr>
            <w:pStyle w:val="Obsah2"/>
            <w:tabs>
              <w:tab w:val="right" w:leader="dot" w:pos="9062"/>
            </w:tabs>
            <w:rPr>
              <w:rFonts w:asciiTheme="minorHAnsi" w:eastAsiaTheme="minorEastAsia" w:hAnsiTheme="minorHAnsi" w:cstheme="minorBidi"/>
              <w:smallCaps w:val="0"/>
              <w:noProof/>
              <w:spacing w:val="0"/>
              <w:szCs w:val="22"/>
              <w:lang w:eastAsia="cs-CZ" w:bidi="ar-SA"/>
            </w:rPr>
          </w:pPr>
          <w:hyperlink w:anchor="_Toc5626445" w:history="1">
            <w:r w:rsidR="00E16011" w:rsidRPr="0072309B">
              <w:rPr>
                <w:rStyle w:val="Hypertextovodkaz"/>
                <w:rFonts w:asciiTheme="majorHAnsi" w:eastAsiaTheme="majorEastAsia" w:hAnsiTheme="majorHAnsi" w:cstheme="majorBidi"/>
                <w:bCs/>
                <w:noProof/>
              </w:rPr>
              <w:t>3. 1 Makroekonomická analýza</w:t>
            </w:r>
            <w:r w:rsidR="00E16011">
              <w:rPr>
                <w:noProof/>
                <w:webHidden/>
              </w:rPr>
              <w:tab/>
            </w:r>
            <w:r w:rsidR="008A090D">
              <w:rPr>
                <w:noProof/>
                <w:webHidden/>
              </w:rPr>
              <w:fldChar w:fldCharType="begin"/>
            </w:r>
            <w:r w:rsidR="00E16011">
              <w:rPr>
                <w:noProof/>
                <w:webHidden/>
              </w:rPr>
              <w:instrText xml:space="preserve"> PAGEREF _Toc5626445 \h </w:instrText>
            </w:r>
            <w:r w:rsidR="008A090D">
              <w:rPr>
                <w:noProof/>
                <w:webHidden/>
              </w:rPr>
            </w:r>
            <w:r w:rsidR="008A090D">
              <w:rPr>
                <w:noProof/>
                <w:webHidden/>
              </w:rPr>
              <w:fldChar w:fldCharType="separate"/>
            </w:r>
            <w:r w:rsidR="00E5552A">
              <w:rPr>
                <w:noProof/>
                <w:webHidden/>
              </w:rPr>
              <w:t>24</w:t>
            </w:r>
            <w:r w:rsidR="008A090D">
              <w:rPr>
                <w:noProof/>
                <w:webHidden/>
              </w:rPr>
              <w:fldChar w:fldCharType="end"/>
            </w:r>
          </w:hyperlink>
        </w:p>
        <w:p w14:paraId="2622CE13"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46" w:history="1">
            <w:r w:rsidR="00E16011" w:rsidRPr="0072309B">
              <w:rPr>
                <w:rStyle w:val="Hypertextovodkaz"/>
                <w:rFonts w:asciiTheme="majorHAnsi" w:eastAsiaTheme="majorEastAsia" w:hAnsiTheme="majorHAnsi" w:cstheme="majorHAnsi"/>
                <w:caps/>
                <w:noProof/>
              </w:rPr>
              <w:t>3.1.1 Hlavní tendence vývoje české ekonomiky v letech 2011 –2018</w:t>
            </w:r>
            <w:r w:rsidR="00E16011">
              <w:rPr>
                <w:noProof/>
                <w:webHidden/>
              </w:rPr>
              <w:tab/>
            </w:r>
            <w:r w:rsidR="008A090D">
              <w:rPr>
                <w:noProof/>
                <w:webHidden/>
              </w:rPr>
              <w:fldChar w:fldCharType="begin"/>
            </w:r>
            <w:r w:rsidR="00E16011">
              <w:rPr>
                <w:noProof/>
                <w:webHidden/>
              </w:rPr>
              <w:instrText xml:space="preserve"> PAGEREF _Toc5626446 \h </w:instrText>
            </w:r>
            <w:r w:rsidR="008A090D">
              <w:rPr>
                <w:noProof/>
                <w:webHidden/>
              </w:rPr>
            </w:r>
            <w:r w:rsidR="008A090D">
              <w:rPr>
                <w:noProof/>
                <w:webHidden/>
              </w:rPr>
              <w:fldChar w:fldCharType="separate"/>
            </w:r>
            <w:r w:rsidR="00E5552A">
              <w:rPr>
                <w:noProof/>
                <w:webHidden/>
              </w:rPr>
              <w:t>24</w:t>
            </w:r>
            <w:r w:rsidR="008A090D">
              <w:rPr>
                <w:noProof/>
                <w:webHidden/>
              </w:rPr>
              <w:fldChar w:fldCharType="end"/>
            </w:r>
          </w:hyperlink>
        </w:p>
        <w:p w14:paraId="204862E8"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47" w:history="1">
            <w:r w:rsidR="00E16011" w:rsidRPr="0072309B">
              <w:rPr>
                <w:rStyle w:val="Hypertextovodkaz"/>
                <w:rFonts w:asciiTheme="majorHAnsi" w:eastAsiaTheme="majorEastAsia" w:hAnsiTheme="majorHAnsi" w:cstheme="majorHAnsi"/>
                <w:caps/>
                <w:noProof/>
              </w:rPr>
              <w:t>3.1.2 Výzkum a vývoj v podnikatelském sektoru v letech 2011 –2017</w:t>
            </w:r>
            <w:r w:rsidR="00E16011">
              <w:rPr>
                <w:noProof/>
                <w:webHidden/>
              </w:rPr>
              <w:tab/>
            </w:r>
            <w:r w:rsidR="008A090D">
              <w:rPr>
                <w:noProof/>
                <w:webHidden/>
              </w:rPr>
              <w:fldChar w:fldCharType="begin"/>
            </w:r>
            <w:r w:rsidR="00E16011">
              <w:rPr>
                <w:noProof/>
                <w:webHidden/>
              </w:rPr>
              <w:instrText xml:space="preserve"> PAGEREF _Toc5626447 \h </w:instrText>
            </w:r>
            <w:r w:rsidR="008A090D">
              <w:rPr>
                <w:noProof/>
                <w:webHidden/>
              </w:rPr>
            </w:r>
            <w:r w:rsidR="008A090D">
              <w:rPr>
                <w:noProof/>
                <w:webHidden/>
              </w:rPr>
              <w:fldChar w:fldCharType="separate"/>
            </w:r>
            <w:r w:rsidR="00E5552A">
              <w:rPr>
                <w:noProof/>
                <w:webHidden/>
              </w:rPr>
              <w:t>27</w:t>
            </w:r>
            <w:r w:rsidR="008A090D">
              <w:rPr>
                <w:noProof/>
                <w:webHidden/>
              </w:rPr>
              <w:fldChar w:fldCharType="end"/>
            </w:r>
          </w:hyperlink>
        </w:p>
        <w:p w14:paraId="14071402"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48" w:history="1">
            <w:r w:rsidR="00E16011" w:rsidRPr="0072309B">
              <w:rPr>
                <w:rStyle w:val="Hypertextovodkaz"/>
                <w:rFonts w:asciiTheme="majorHAnsi" w:eastAsiaTheme="majorEastAsia" w:hAnsiTheme="majorHAnsi" w:cstheme="majorHAnsi"/>
                <w:caps/>
                <w:noProof/>
              </w:rPr>
              <w:t>3.1.3 Národní RIS3 strategie v kontextu Dalšího makroekonomického vývoje</w:t>
            </w:r>
            <w:r w:rsidR="00E16011">
              <w:rPr>
                <w:noProof/>
                <w:webHidden/>
              </w:rPr>
              <w:tab/>
            </w:r>
            <w:r w:rsidR="008A090D">
              <w:rPr>
                <w:noProof/>
                <w:webHidden/>
              </w:rPr>
              <w:fldChar w:fldCharType="begin"/>
            </w:r>
            <w:r w:rsidR="00E16011">
              <w:rPr>
                <w:noProof/>
                <w:webHidden/>
              </w:rPr>
              <w:instrText xml:space="preserve"> PAGEREF _Toc5626448 \h </w:instrText>
            </w:r>
            <w:r w:rsidR="008A090D">
              <w:rPr>
                <w:noProof/>
                <w:webHidden/>
              </w:rPr>
            </w:r>
            <w:r w:rsidR="008A090D">
              <w:rPr>
                <w:noProof/>
                <w:webHidden/>
              </w:rPr>
              <w:fldChar w:fldCharType="separate"/>
            </w:r>
            <w:r w:rsidR="00E5552A">
              <w:rPr>
                <w:noProof/>
                <w:webHidden/>
              </w:rPr>
              <w:t>28</w:t>
            </w:r>
            <w:r w:rsidR="008A090D">
              <w:rPr>
                <w:noProof/>
                <w:webHidden/>
              </w:rPr>
              <w:fldChar w:fldCharType="end"/>
            </w:r>
          </w:hyperlink>
        </w:p>
        <w:p w14:paraId="6E974D44" w14:textId="77777777" w:rsidR="00E16011" w:rsidRDefault="009B14C0">
          <w:pPr>
            <w:pStyle w:val="Obsah2"/>
            <w:tabs>
              <w:tab w:val="right" w:leader="dot" w:pos="9062"/>
            </w:tabs>
            <w:rPr>
              <w:rFonts w:asciiTheme="minorHAnsi" w:eastAsiaTheme="minorEastAsia" w:hAnsiTheme="minorHAnsi" w:cstheme="minorBidi"/>
              <w:smallCaps w:val="0"/>
              <w:noProof/>
              <w:spacing w:val="0"/>
              <w:szCs w:val="22"/>
              <w:lang w:eastAsia="cs-CZ" w:bidi="ar-SA"/>
            </w:rPr>
          </w:pPr>
          <w:hyperlink w:anchor="_Toc5626449" w:history="1">
            <w:r w:rsidR="00E16011" w:rsidRPr="0072309B">
              <w:rPr>
                <w:rStyle w:val="Hypertextovodkaz"/>
                <w:rFonts w:asciiTheme="majorHAnsi" w:eastAsiaTheme="majorEastAsia" w:hAnsiTheme="majorHAnsi" w:cstheme="majorBidi"/>
                <w:bCs/>
                <w:noProof/>
              </w:rPr>
              <w:t>3.2 Zacílení Národní RIS3 strategie</w:t>
            </w:r>
            <w:r w:rsidR="00E16011">
              <w:rPr>
                <w:noProof/>
                <w:webHidden/>
              </w:rPr>
              <w:tab/>
            </w:r>
            <w:r w:rsidR="008A090D">
              <w:rPr>
                <w:noProof/>
                <w:webHidden/>
              </w:rPr>
              <w:fldChar w:fldCharType="begin"/>
            </w:r>
            <w:r w:rsidR="00E16011">
              <w:rPr>
                <w:noProof/>
                <w:webHidden/>
              </w:rPr>
              <w:instrText xml:space="preserve"> PAGEREF _Toc5626449 \h </w:instrText>
            </w:r>
            <w:r w:rsidR="008A090D">
              <w:rPr>
                <w:noProof/>
                <w:webHidden/>
              </w:rPr>
            </w:r>
            <w:r w:rsidR="008A090D">
              <w:rPr>
                <w:noProof/>
                <w:webHidden/>
              </w:rPr>
              <w:fldChar w:fldCharType="separate"/>
            </w:r>
            <w:r w:rsidR="00E5552A">
              <w:rPr>
                <w:noProof/>
                <w:webHidden/>
              </w:rPr>
              <w:t>30</w:t>
            </w:r>
            <w:r w:rsidR="008A090D">
              <w:rPr>
                <w:noProof/>
                <w:webHidden/>
              </w:rPr>
              <w:fldChar w:fldCharType="end"/>
            </w:r>
          </w:hyperlink>
        </w:p>
        <w:p w14:paraId="3D7C20EA"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50" w:history="1">
            <w:r w:rsidR="00E16011" w:rsidRPr="0072309B">
              <w:rPr>
                <w:rStyle w:val="Hypertextovodkaz"/>
                <w:rFonts w:asciiTheme="majorHAnsi" w:eastAsiaTheme="majorEastAsia" w:hAnsiTheme="majorHAnsi" w:cstheme="majorHAnsi"/>
                <w:caps/>
                <w:noProof/>
              </w:rPr>
              <w:t>3.2.1 Horizontální zacílení Národní RIS3 strategie</w:t>
            </w:r>
            <w:r w:rsidR="00E16011">
              <w:rPr>
                <w:noProof/>
                <w:webHidden/>
              </w:rPr>
              <w:tab/>
            </w:r>
            <w:r w:rsidR="008A090D">
              <w:rPr>
                <w:noProof/>
                <w:webHidden/>
              </w:rPr>
              <w:fldChar w:fldCharType="begin"/>
            </w:r>
            <w:r w:rsidR="00E16011">
              <w:rPr>
                <w:noProof/>
                <w:webHidden/>
              </w:rPr>
              <w:instrText xml:space="preserve"> PAGEREF _Toc5626450 \h </w:instrText>
            </w:r>
            <w:r w:rsidR="008A090D">
              <w:rPr>
                <w:noProof/>
                <w:webHidden/>
              </w:rPr>
            </w:r>
            <w:r w:rsidR="008A090D">
              <w:rPr>
                <w:noProof/>
                <w:webHidden/>
              </w:rPr>
              <w:fldChar w:fldCharType="separate"/>
            </w:r>
            <w:r w:rsidR="00E5552A">
              <w:rPr>
                <w:noProof/>
                <w:webHidden/>
              </w:rPr>
              <w:t>30</w:t>
            </w:r>
            <w:r w:rsidR="008A090D">
              <w:rPr>
                <w:noProof/>
                <w:webHidden/>
              </w:rPr>
              <w:fldChar w:fldCharType="end"/>
            </w:r>
          </w:hyperlink>
        </w:p>
        <w:p w14:paraId="5E078A8C"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51" w:history="1">
            <w:r w:rsidR="00E16011" w:rsidRPr="0072309B">
              <w:rPr>
                <w:rStyle w:val="Hypertextovodkaz"/>
                <w:rFonts w:asciiTheme="majorHAnsi" w:eastAsiaTheme="majorEastAsia" w:hAnsiTheme="majorHAnsi" w:cstheme="majorHAnsi"/>
                <w:caps/>
                <w:noProof/>
              </w:rPr>
              <w:t>3.2.2 vertikální zacílení Národní RIS3 strategie</w:t>
            </w:r>
            <w:r w:rsidR="00E16011">
              <w:rPr>
                <w:noProof/>
                <w:webHidden/>
              </w:rPr>
              <w:tab/>
            </w:r>
            <w:r w:rsidR="008A090D">
              <w:rPr>
                <w:noProof/>
                <w:webHidden/>
              </w:rPr>
              <w:fldChar w:fldCharType="begin"/>
            </w:r>
            <w:r w:rsidR="00E16011">
              <w:rPr>
                <w:noProof/>
                <w:webHidden/>
              </w:rPr>
              <w:instrText xml:space="preserve"> PAGEREF _Toc5626451 \h </w:instrText>
            </w:r>
            <w:r w:rsidR="008A090D">
              <w:rPr>
                <w:noProof/>
                <w:webHidden/>
              </w:rPr>
            </w:r>
            <w:r w:rsidR="008A090D">
              <w:rPr>
                <w:noProof/>
                <w:webHidden/>
              </w:rPr>
              <w:fldChar w:fldCharType="separate"/>
            </w:r>
            <w:r w:rsidR="00E5552A">
              <w:rPr>
                <w:noProof/>
                <w:webHidden/>
              </w:rPr>
              <w:t>33</w:t>
            </w:r>
            <w:r w:rsidR="008A090D">
              <w:rPr>
                <w:noProof/>
                <w:webHidden/>
              </w:rPr>
              <w:fldChar w:fldCharType="end"/>
            </w:r>
          </w:hyperlink>
        </w:p>
        <w:p w14:paraId="625AF905"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52" w:history="1">
            <w:r w:rsidR="00E16011" w:rsidRPr="0072309B">
              <w:rPr>
                <w:rStyle w:val="Hypertextovodkaz"/>
                <w:rFonts w:asciiTheme="majorHAnsi" w:eastAsiaTheme="majorEastAsia" w:hAnsiTheme="majorHAnsi" w:cstheme="majorHAnsi"/>
                <w:caps/>
                <w:noProof/>
              </w:rPr>
              <w:t>3.2.3 Koherence horizontálních cílů Národní RIS3 strategie s dalšími klíčovými dokumenty</w:t>
            </w:r>
            <w:r w:rsidR="00E16011">
              <w:rPr>
                <w:noProof/>
                <w:webHidden/>
              </w:rPr>
              <w:tab/>
            </w:r>
            <w:r w:rsidR="008A090D">
              <w:rPr>
                <w:noProof/>
                <w:webHidden/>
              </w:rPr>
              <w:fldChar w:fldCharType="begin"/>
            </w:r>
            <w:r w:rsidR="00E16011">
              <w:rPr>
                <w:noProof/>
                <w:webHidden/>
              </w:rPr>
              <w:instrText xml:space="preserve"> PAGEREF _Toc5626452 \h </w:instrText>
            </w:r>
            <w:r w:rsidR="008A090D">
              <w:rPr>
                <w:noProof/>
                <w:webHidden/>
              </w:rPr>
            </w:r>
            <w:r w:rsidR="008A090D">
              <w:rPr>
                <w:noProof/>
                <w:webHidden/>
              </w:rPr>
              <w:fldChar w:fldCharType="separate"/>
            </w:r>
            <w:r w:rsidR="00E5552A">
              <w:rPr>
                <w:noProof/>
                <w:webHidden/>
              </w:rPr>
              <w:t>39</w:t>
            </w:r>
            <w:r w:rsidR="008A090D">
              <w:rPr>
                <w:noProof/>
                <w:webHidden/>
              </w:rPr>
              <w:fldChar w:fldCharType="end"/>
            </w:r>
          </w:hyperlink>
        </w:p>
        <w:p w14:paraId="57101EB0"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53" w:history="1">
            <w:r w:rsidR="00E16011" w:rsidRPr="0072309B">
              <w:rPr>
                <w:rStyle w:val="Hypertextovodkaz"/>
                <w:rFonts w:asciiTheme="majorHAnsi" w:eastAsiaTheme="majorEastAsia" w:hAnsiTheme="majorHAnsi" w:cstheme="majorHAnsi"/>
                <w:caps/>
                <w:noProof/>
              </w:rPr>
              <w:t>3.2.4 promítnutí výsledků terénního Šetření k celkovému pojetí a zacílení Národní RIS3 strategie</w:t>
            </w:r>
            <w:r w:rsidR="00E16011">
              <w:rPr>
                <w:noProof/>
                <w:webHidden/>
              </w:rPr>
              <w:tab/>
            </w:r>
            <w:r w:rsidR="008A090D">
              <w:rPr>
                <w:noProof/>
                <w:webHidden/>
              </w:rPr>
              <w:fldChar w:fldCharType="begin"/>
            </w:r>
            <w:r w:rsidR="00E16011">
              <w:rPr>
                <w:noProof/>
                <w:webHidden/>
              </w:rPr>
              <w:instrText xml:space="preserve"> PAGEREF _Toc5626453 \h </w:instrText>
            </w:r>
            <w:r w:rsidR="008A090D">
              <w:rPr>
                <w:noProof/>
                <w:webHidden/>
              </w:rPr>
            </w:r>
            <w:r w:rsidR="008A090D">
              <w:rPr>
                <w:noProof/>
                <w:webHidden/>
              </w:rPr>
              <w:fldChar w:fldCharType="separate"/>
            </w:r>
            <w:r w:rsidR="00E5552A">
              <w:rPr>
                <w:noProof/>
                <w:webHidden/>
              </w:rPr>
              <w:t>41</w:t>
            </w:r>
            <w:r w:rsidR="008A090D">
              <w:rPr>
                <w:noProof/>
                <w:webHidden/>
              </w:rPr>
              <w:fldChar w:fldCharType="end"/>
            </w:r>
          </w:hyperlink>
        </w:p>
        <w:p w14:paraId="20763908"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54" w:history="1">
            <w:r w:rsidR="00E16011" w:rsidRPr="0072309B">
              <w:rPr>
                <w:rStyle w:val="Hypertextovodkaz"/>
                <w:rFonts w:asciiTheme="majorHAnsi" w:eastAsiaTheme="majorEastAsia" w:hAnsiTheme="majorHAnsi" w:cstheme="majorHAnsi"/>
                <w:caps/>
                <w:noProof/>
              </w:rPr>
              <w:t>Dílčí závěry k evaluačnímu okruhu I.</w:t>
            </w:r>
            <w:r w:rsidR="00E16011">
              <w:rPr>
                <w:noProof/>
                <w:webHidden/>
              </w:rPr>
              <w:tab/>
            </w:r>
            <w:r w:rsidR="008A090D">
              <w:rPr>
                <w:noProof/>
                <w:webHidden/>
              </w:rPr>
              <w:fldChar w:fldCharType="begin"/>
            </w:r>
            <w:r w:rsidR="00E16011">
              <w:rPr>
                <w:noProof/>
                <w:webHidden/>
              </w:rPr>
              <w:instrText xml:space="preserve"> PAGEREF _Toc5626454 \h </w:instrText>
            </w:r>
            <w:r w:rsidR="008A090D">
              <w:rPr>
                <w:noProof/>
                <w:webHidden/>
              </w:rPr>
            </w:r>
            <w:r w:rsidR="008A090D">
              <w:rPr>
                <w:noProof/>
                <w:webHidden/>
              </w:rPr>
              <w:fldChar w:fldCharType="separate"/>
            </w:r>
            <w:r w:rsidR="00E5552A">
              <w:rPr>
                <w:noProof/>
                <w:webHidden/>
              </w:rPr>
              <w:t>43</w:t>
            </w:r>
            <w:r w:rsidR="008A090D">
              <w:rPr>
                <w:noProof/>
                <w:webHidden/>
              </w:rPr>
              <w:fldChar w:fldCharType="end"/>
            </w:r>
          </w:hyperlink>
        </w:p>
        <w:p w14:paraId="72769B61" w14:textId="77777777" w:rsidR="00E16011" w:rsidRDefault="009B14C0">
          <w:pPr>
            <w:pStyle w:val="Obsah1"/>
            <w:rPr>
              <w:rFonts w:asciiTheme="minorHAnsi" w:eastAsiaTheme="minorEastAsia" w:hAnsiTheme="minorHAnsi" w:cstheme="minorBidi"/>
              <w:b w:val="0"/>
              <w:bCs w:val="0"/>
              <w:caps w:val="0"/>
              <w:noProof/>
              <w:spacing w:val="0"/>
              <w:szCs w:val="22"/>
              <w:lang w:eastAsia="cs-CZ" w:bidi="ar-SA"/>
            </w:rPr>
          </w:pPr>
          <w:hyperlink w:anchor="_Toc5626455" w:history="1">
            <w:r w:rsidR="00E16011" w:rsidRPr="0072309B">
              <w:rPr>
                <w:rStyle w:val="Hypertextovodkaz"/>
                <w:rFonts w:asciiTheme="majorHAnsi" w:eastAsiaTheme="majorEastAsia" w:hAnsiTheme="majorHAnsi" w:cstheme="majorBidi"/>
                <w:noProof/>
              </w:rPr>
              <w:t>4. Evaluační okruh II. - Zhodnocení pokroku při naplňování RIS3 prostřednictvím ESIF programů a národních programů podpory</w:t>
            </w:r>
            <w:r w:rsidR="00E16011">
              <w:rPr>
                <w:noProof/>
                <w:webHidden/>
              </w:rPr>
              <w:tab/>
            </w:r>
            <w:r w:rsidR="008A090D">
              <w:rPr>
                <w:noProof/>
                <w:webHidden/>
              </w:rPr>
              <w:fldChar w:fldCharType="begin"/>
            </w:r>
            <w:r w:rsidR="00E16011">
              <w:rPr>
                <w:noProof/>
                <w:webHidden/>
              </w:rPr>
              <w:instrText xml:space="preserve"> PAGEREF _Toc5626455 \h </w:instrText>
            </w:r>
            <w:r w:rsidR="008A090D">
              <w:rPr>
                <w:noProof/>
                <w:webHidden/>
              </w:rPr>
            </w:r>
            <w:r w:rsidR="008A090D">
              <w:rPr>
                <w:noProof/>
                <w:webHidden/>
              </w:rPr>
              <w:fldChar w:fldCharType="separate"/>
            </w:r>
            <w:r w:rsidR="00E5552A">
              <w:rPr>
                <w:noProof/>
                <w:webHidden/>
              </w:rPr>
              <w:t>45</w:t>
            </w:r>
            <w:r w:rsidR="008A090D">
              <w:rPr>
                <w:noProof/>
                <w:webHidden/>
              </w:rPr>
              <w:fldChar w:fldCharType="end"/>
            </w:r>
          </w:hyperlink>
        </w:p>
        <w:p w14:paraId="4B33D046" w14:textId="77777777" w:rsidR="00E16011" w:rsidRDefault="009B14C0">
          <w:pPr>
            <w:pStyle w:val="Obsah2"/>
            <w:tabs>
              <w:tab w:val="right" w:leader="dot" w:pos="9062"/>
            </w:tabs>
            <w:rPr>
              <w:rFonts w:asciiTheme="minorHAnsi" w:eastAsiaTheme="minorEastAsia" w:hAnsiTheme="minorHAnsi" w:cstheme="minorBidi"/>
              <w:smallCaps w:val="0"/>
              <w:noProof/>
              <w:spacing w:val="0"/>
              <w:szCs w:val="22"/>
              <w:lang w:eastAsia="cs-CZ" w:bidi="ar-SA"/>
            </w:rPr>
          </w:pPr>
          <w:hyperlink w:anchor="_Toc5626456" w:history="1">
            <w:r w:rsidR="00E16011" w:rsidRPr="0072309B">
              <w:rPr>
                <w:rStyle w:val="Hypertextovodkaz"/>
                <w:rFonts w:asciiTheme="majorHAnsi" w:eastAsiaTheme="majorEastAsia" w:hAnsiTheme="majorHAnsi" w:cstheme="majorBidi"/>
                <w:bCs/>
                <w:noProof/>
              </w:rPr>
              <w:t>4.1 Finanční pokrok při naplňování Národní RIS3 strategie</w:t>
            </w:r>
            <w:r w:rsidR="00E16011">
              <w:rPr>
                <w:noProof/>
                <w:webHidden/>
              </w:rPr>
              <w:tab/>
            </w:r>
            <w:r w:rsidR="008A090D">
              <w:rPr>
                <w:noProof/>
                <w:webHidden/>
              </w:rPr>
              <w:fldChar w:fldCharType="begin"/>
            </w:r>
            <w:r w:rsidR="00E16011">
              <w:rPr>
                <w:noProof/>
                <w:webHidden/>
              </w:rPr>
              <w:instrText xml:space="preserve"> PAGEREF _Toc5626456 \h </w:instrText>
            </w:r>
            <w:r w:rsidR="008A090D">
              <w:rPr>
                <w:noProof/>
                <w:webHidden/>
              </w:rPr>
            </w:r>
            <w:r w:rsidR="008A090D">
              <w:rPr>
                <w:noProof/>
                <w:webHidden/>
              </w:rPr>
              <w:fldChar w:fldCharType="separate"/>
            </w:r>
            <w:r w:rsidR="00E5552A">
              <w:rPr>
                <w:noProof/>
                <w:webHidden/>
              </w:rPr>
              <w:t>46</w:t>
            </w:r>
            <w:r w:rsidR="008A090D">
              <w:rPr>
                <w:noProof/>
                <w:webHidden/>
              </w:rPr>
              <w:fldChar w:fldCharType="end"/>
            </w:r>
          </w:hyperlink>
        </w:p>
        <w:p w14:paraId="1DC9E6F9"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57" w:history="1">
            <w:r w:rsidR="00E16011" w:rsidRPr="0072309B">
              <w:rPr>
                <w:rStyle w:val="Hypertextovodkaz"/>
                <w:rFonts w:asciiTheme="majorHAnsi" w:eastAsiaTheme="majorEastAsia" w:hAnsiTheme="majorHAnsi" w:cstheme="majorHAnsi"/>
                <w:caps/>
                <w:noProof/>
              </w:rPr>
              <w:t>4.1.1 OPERAČNÍ PROGRAMY</w:t>
            </w:r>
            <w:r w:rsidR="00E16011">
              <w:rPr>
                <w:noProof/>
                <w:webHidden/>
              </w:rPr>
              <w:tab/>
            </w:r>
            <w:r w:rsidR="008A090D">
              <w:rPr>
                <w:noProof/>
                <w:webHidden/>
              </w:rPr>
              <w:fldChar w:fldCharType="begin"/>
            </w:r>
            <w:r w:rsidR="00E16011">
              <w:rPr>
                <w:noProof/>
                <w:webHidden/>
              </w:rPr>
              <w:instrText xml:space="preserve"> PAGEREF _Toc5626457 \h </w:instrText>
            </w:r>
            <w:r w:rsidR="008A090D">
              <w:rPr>
                <w:noProof/>
                <w:webHidden/>
              </w:rPr>
            </w:r>
            <w:r w:rsidR="008A090D">
              <w:rPr>
                <w:noProof/>
                <w:webHidden/>
              </w:rPr>
              <w:fldChar w:fldCharType="separate"/>
            </w:r>
            <w:r w:rsidR="00E5552A">
              <w:rPr>
                <w:noProof/>
                <w:webHidden/>
              </w:rPr>
              <w:t>46</w:t>
            </w:r>
            <w:r w:rsidR="008A090D">
              <w:rPr>
                <w:noProof/>
                <w:webHidden/>
              </w:rPr>
              <w:fldChar w:fldCharType="end"/>
            </w:r>
          </w:hyperlink>
        </w:p>
        <w:p w14:paraId="65AE9441"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58" w:history="1">
            <w:r w:rsidR="00E16011" w:rsidRPr="0072309B">
              <w:rPr>
                <w:rStyle w:val="Hypertextovodkaz"/>
                <w:rFonts w:asciiTheme="majorHAnsi" w:eastAsiaTheme="majorEastAsia" w:hAnsiTheme="majorHAnsi" w:cstheme="majorHAnsi"/>
                <w:caps/>
                <w:noProof/>
              </w:rPr>
              <w:t>4.1.2 Příspěvek operačních programů k naplňování Národní RIS3 strategie</w:t>
            </w:r>
            <w:r w:rsidR="00E16011">
              <w:rPr>
                <w:noProof/>
                <w:webHidden/>
              </w:rPr>
              <w:tab/>
            </w:r>
            <w:r w:rsidR="008A090D">
              <w:rPr>
                <w:noProof/>
                <w:webHidden/>
              </w:rPr>
              <w:fldChar w:fldCharType="begin"/>
            </w:r>
            <w:r w:rsidR="00E16011">
              <w:rPr>
                <w:noProof/>
                <w:webHidden/>
              </w:rPr>
              <w:instrText xml:space="preserve"> PAGEREF _Toc5626458 \h </w:instrText>
            </w:r>
            <w:r w:rsidR="008A090D">
              <w:rPr>
                <w:noProof/>
                <w:webHidden/>
              </w:rPr>
            </w:r>
            <w:r w:rsidR="008A090D">
              <w:rPr>
                <w:noProof/>
                <w:webHidden/>
              </w:rPr>
              <w:fldChar w:fldCharType="separate"/>
            </w:r>
            <w:r w:rsidR="00E5552A">
              <w:rPr>
                <w:noProof/>
                <w:webHidden/>
              </w:rPr>
              <w:t>49</w:t>
            </w:r>
            <w:r w:rsidR="008A090D">
              <w:rPr>
                <w:noProof/>
                <w:webHidden/>
              </w:rPr>
              <w:fldChar w:fldCharType="end"/>
            </w:r>
          </w:hyperlink>
        </w:p>
        <w:p w14:paraId="757A6B7C"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59" w:history="1">
            <w:r w:rsidR="00E16011" w:rsidRPr="0072309B">
              <w:rPr>
                <w:rStyle w:val="Hypertextovodkaz"/>
                <w:rFonts w:asciiTheme="majorHAnsi" w:eastAsiaTheme="majorEastAsia" w:hAnsiTheme="majorHAnsi" w:cstheme="majorHAnsi"/>
                <w:caps/>
                <w:noProof/>
              </w:rPr>
              <w:t>4.1.3 NÁRODNÍ PROGRAMY PODPORY</w:t>
            </w:r>
            <w:r w:rsidR="00E16011">
              <w:rPr>
                <w:noProof/>
                <w:webHidden/>
              </w:rPr>
              <w:tab/>
            </w:r>
            <w:r w:rsidR="008A090D">
              <w:rPr>
                <w:noProof/>
                <w:webHidden/>
              </w:rPr>
              <w:fldChar w:fldCharType="begin"/>
            </w:r>
            <w:r w:rsidR="00E16011">
              <w:rPr>
                <w:noProof/>
                <w:webHidden/>
              </w:rPr>
              <w:instrText xml:space="preserve"> PAGEREF _Toc5626459 \h </w:instrText>
            </w:r>
            <w:r w:rsidR="008A090D">
              <w:rPr>
                <w:noProof/>
                <w:webHidden/>
              </w:rPr>
            </w:r>
            <w:r w:rsidR="008A090D">
              <w:rPr>
                <w:noProof/>
                <w:webHidden/>
              </w:rPr>
              <w:fldChar w:fldCharType="separate"/>
            </w:r>
            <w:r w:rsidR="00E5552A">
              <w:rPr>
                <w:noProof/>
                <w:webHidden/>
              </w:rPr>
              <w:t>49</w:t>
            </w:r>
            <w:r w:rsidR="008A090D">
              <w:rPr>
                <w:noProof/>
                <w:webHidden/>
              </w:rPr>
              <w:fldChar w:fldCharType="end"/>
            </w:r>
          </w:hyperlink>
        </w:p>
        <w:p w14:paraId="747A6722"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60" w:history="1">
            <w:r w:rsidR="00E16011" w:rsidRPr="0072309B">
              <w:rPr>
                <w:rStyle w:val="Hypertextovodkaz"/>
                <w:rFonts w:asciiTheme="majorHAnsi" w:eastAsiaTheme="majorEastAsia" w:hAnsiTheme="majorHAnsi" w:cstheme="majorHAnsi"/>
                <w:caps/>
                <w:noProof/>
              </w:rPr>
              <w:t>4.1.4 Příspěvek národních programů podpory k naplňování Národní RIS3 strategie</w:t>
            </w:r>
            <w:r w:rsidR="00E16011">
              <w:rPr>
                <w:noProof/>
                <w:webHidden/>
              </w:rPr>
              <w:tab/>
            </w:r>
            <w:r w:rsidR="008A090D">
              <w:rPr>
                <w:noProof/>
                <w:webHidden/>
              </w:rPr>
              <w:fldChar w:fldCharType="begin"/>
            </w:r>
            <w:r w:rsidR="00E16011">
              <w:rPr>
                <w:noProof/>
                <w:webHidden/>
              </w:rPr>
              <w:instrText xml:space="preserve"> PAGEREF _Toc5626460 \h </w:instrText>
            </w:r>
            <w:r w:rsidR="008A090D">
              <w:rPr>
                <w:noProof/>
                <w:webHidden/>
              </w:rPr>
            </w:r>
            <w:r w:rsidR="008A090D">
              <w:rPr>
                <w:noProof/>
                <w:webHidden/>
              </w:rPr>
              <w:fldChar w:fldCharType="separate"/>
            </w:r>
            <w:r w:rsidR="00E5552A">
              <w:rPr>
                <w:noProof/>
                <w:webHidden/>
              </w:rPr>
              <w:t>52</w:t>
            </w:r>
            <w:r w:rsidR="008A090D">
              <w:rPr>
                <w:noProof/>
                <w:webHidden/>
              </w:rPr>
              <w:fldChar w:fldCharType="end"/>
            </w:r>
          </w:hyperlink>
        </w:p>
        <w:p w14:paraId="16D3838F" w14:textId="77777777" w:rsidR="00E16011" w:rsidRDefault="009B14C0">
          <w:pPr>
            <w:pStyle w:val="Obsah2"/>
            <w:tabs>
              <w:tab w:val="right" w:leader="dot" w:pos="9062"/>
            </w:tabs>
            <w:rPr>
              <w:rFonts w:asciiTheme="minorHAnsi" w:eastAsiaTheme="minorEastAsia" w:hAnsiTheme="minorHAnsi" w:cstheme="minorBidi"/>
              <w:smallCaps w:val="0"/>
              <w:noProof/>
              <w:spacing w:val="0"/>
              <w:szCs w:val="22"/>
              <w:lang w:eastAsia="cs-CZ" w:bidi="ar-SA"/>
            </w:rPr>
          </w:pPr>
          <w:hyperlink w:anchor="_Toc5626461" w:history="1">
            <w:r w:rsidR="00E16011" w:rsidRPr="0072309B">
              <w:rPr>
                <w:rStyle w:val="Hypertextovodkaz"/>
                <w:rFonts w:asciiTheme="majorHAnsi" w:eastAsiaTheme="majorEastAsia" w:hAnsiTheme="majorHAnsi" w:cstheme="majorBidi"/>
                <w:bCs/>
                <w:noProof/>
              </w:rPr>
              <w:t>4.2 Věcný pokrok při naplňování Národní RIS3 strategie</w:t>
            </w:r>
            <w:r w:rsidR="00E16011">
              <w:rPr>
                <w:noProof/>
                <w:webHidden/>
              </w:rPr>
              <w:tab/>
            </w:r>
            <w:r w:rsidR="008A090D">
              <w:rPr>
                <w:noProof/>
                <w:webHidden/>
              </w:rPr>
              <w:fldChar w:fldCharType="begin"/>
            </w:r>
            <w:r w:rsidR="00E16011">
              <w:rPr>
                <w:noProof/>
                <w:webHidden/>
              </w:rPr>
              <w:instrText xml:space="preserve"> PAGEREF _Toc5626461 \h </w:instrText>
            </w:r>
            <w:r w:rsidR="008A090D">
              <w:rPr>
                <w:noProof/>
                <w:webHidden/>
              </w:rPr>
            </w:r>
            <w:r w:rsidR="008A090D">
              <w:rPr>
                <w:noProof/>
                <w:webHidden/>
              </w:rPr>
              <w:fldChar w:fldCharType="separate"/>
            </w:r>
            <w:r w:rsidR="00E5552A">
              <w:rPr>
                <w:noProof/>
                <w:webHidden/>
              </w:rPr>
              <w:t>53</w:t>
            </w:r>
            <w:r w:rsidR="008A090D">
              <w:rPr>
                <w:noProof/>
                <w:webHidden/>
              </w:rPr>
              <w:fldChar w:fldCharType="end"/>
            </w:r>
          </w:hyperlink>
        </w:p>
        <w:p w14:paraId="4B6AB055"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62" w:history="1">
            <w:r w:rsidR="00E16011" w:rsidRPr="0072309B">
              <w:rPr>
                <w:rStyle w:val="Hypertextovodkaz"/>
                <w:rFonts w:asciiTheme="majorHAnsi" w:eastAsiaTheme="majorEastAsia" w:hAnsiTheme="majorHAnsi" w:cstheme="majorHAnsi"/>
                <w:caps/>
                <w:noProof/>
              </w:rPr>
              <w:t>4.2.1 INDIKÁTORY KLÍČOVÝCH OBLASTÍ ZMĚN A STRATEGICKÝCH CÍLŮ</w:t>
            </w:r>
            <w:r w:rsidR="00E16011">
              <w:rPr>
                <w:noProof/>
                <w:webHidden/>
              </w:rPr>
              <w:tab/>
            </w:r>
            <w:r w:rsidR="008A090D">
              <w:rPr>
                <w:noProof/>
                <w:webHidden/>
              </w:rPr>
              <w:fldChar w:fldCharType="begin"/>
            </w:r>
            <w:r w:rsidR="00E16011">
              <w:rPr>
                <w:noProof/>
                <w:webHidden/>
              </w:rPr>
              <w:instrText xml:space="preserve"> PAGEREF _Toc5626462 \h </w:instrText>
            </w:r>
            <w:r w:rsidR="008A090D">
              <w:rPr>
                <w:noProof/>
                <w:webHidden/>
              </w:rPr>
            </w:r>
            <w:r w:rsidR="008A090D">
              <w:rPr>
                <w:noProof/>
                <w:webHidden/>
              </w:rPr>
              <w:fldChar w:fldCharType="separate"/>
            </w:r>
            <w:r w:rsidR="00E5552A">
              <w:rPr>
                <w:noProof/>
                <w:webHidden/>
              </w:rPr>
              <w:t>54</w:t>
            </w:r>
            <w:r w:rsidR="008A090D">
              <w:rPr>
                <w:noProof/>
                <w:webHidden/>
              </w:rPr>
              <w:fldChar w:fldCharType="end"/>
            </w:r>
          </w:hyperlink>
        </w:p>
        <w:p w14:paraId="56FB8D3C"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63" w:history="1">
            <w:r w:rsidR="00E16011" w:rsidRPr="0072309B">
              <w:rPr>
                <w:rStyle w:val="Hypertextovodkaz"/>
                <w:rFonts w:asciiTheme="majorHAnsi" w:eastAsiaTheme="majorEastAsia" w:hAnsiTheme="majorHAnsi" w:cstheme="majorHAnsi"/>
                <w:caps/>
                <w:noProof/>
              </w:rPr>
              <w:t>4.2.2 INDIKÁTORY SPECIFICKÝCH CÍLŮ V OPERAČNÍCH PROGRAMECH</w:t>
            </w:r>
            <w:r w:rsidR="00E16011">
              <w:rPr>
                <w:noProof/>
                <w:webHidden/>
              </w:rPr>
              <w:tab/>
            </w:r>
            <w:r w:rsidR="008A090D">
              <w:rPr>
                <w:noProof/>
                <w:webHidden/>
              </w:rPr>
              <w:fldChar w:fldCharType="begin"/>
            </w:r>
            <w:r w:rsidR="00E16011">
              <w:rPr>
                <w:noProof/>
                <w:webHidden/>
              </w:rPr>
              <w:instrText xml:space="preserve"> PAGEREF _Toc5626463 \h </w:instrText>
            </w:r>
            <w:r w:rsidR="008A090D">
              <w:rPr>
                <w:noProof/>
                <w:webHidden/>
              </w:rPr>
            </w:r>
            <w:r w:rsidR="008A090D">
              <w:rPr>
                <w:noProof/>
                <w:webHidden/>
              </w:rPr>
              <w:fldChar w:fldCharType="separate"/>
            </w:r>
            <w:r w:rsidR="00E5552A">
              <w:rPr>
                <w:noProof/>
                <w:webHidden/>
              </w:rPr>
              <w:t>56</w:t>
            </w:r>
            <w:r w:rsidR="008A090D">
              <w:rPr>
                <w:noProof/>
                <w:webHidden/>
              </w:rPr>
              <w:fldChar w:fldCharType="end"/>
            </w:r>
          </w:hyperlink>
        </w:p>
        <w:p w14:paraId="0B662745"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64" w:history="1">
            <w:r w:rsidR="00E16011" w:rsidRPr="0072309B">
              <w:rPr>
                <w:rStyle w:val="Hypertextovodkaz"/>
                <w:rFonts w:asciiTheme="majorHAnsi" w:eastAsiaTheme="majorEastAsia" w:hAnsiTheme="majorHAnsi" w:cstheme="majorHAnsi"/>
                <w:caps/>
                <w:noProof/>
              </w:rPr>
              <w:t>4.2.3 INDIKÁTORY SPECIFICKÝCH CÍLŮ V NÁRODNÍCH PROGRAMECH PODPORY</w:t>
            </w:r>
            <w:r w:rsidR="00E16011">
              <w:rPr>
                <w:noProof/>
                <w:webHidden/>
              </w:rPr>
              <w:tab/>
            </w:r>
            <w:r w:rsidR="008A090D">
              <w:rPr>
                <w:noProof/>
                <w:webHidden/>
              </w:rPr>
              <w:fldChar w:fldCharType="begin"/>
            </w:r>
            <w:r w:rsidR="00E16011">
              <w:rPr>
                <w:noProof/>
                <w:webHidden/>
              </w:rPr>
              <w:instrText xml:space="preserve"> PAGEREF _Toc5626464 \h </w:instrText>
            </w:r>
            <w:r w:rsidR="008A090D">
              <w:rPr>
                <w:noProof/>
                <w:webHidden/>
              </w:rPr>
            </w:r>
            <w:r w:rsidR="008A090D">
              <w:rPr>
                <w:noProof/>
                <w:webHidden/>
              </w:rPr>
              <w:fldChar w:fldCharType="separate"/>
            </w:r>
            <w:r w:rsidR="00E5552A">
              <w:rPr>
                <w:noProof/>
                <w:webHidden/>
              </w:rPr>
              <w:t>59</w:t>
            </w:r>
            <w:r w:rsidR="008A090D">
              <w:rPr>
                <w:noProof/>
                <w:webHidden/>
              </w:rPr>
              <w:fldChar w:fldCharType="end"/>
            </w:r>
          </w:hyperlink>
        </w:p>
        <w:p w14:paraId="68FD27D4"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65" w:history="1">
            <w:r w:rsidR="00E16011" w:rsidRPr="0072309B">
              <w:rPr>
                <w:rStyle w:val="Hypertextovodkaz"/>
                <w:rFonts w:asciiTheme="majorHAnsi" w:eastAsiaTheme="majorEastAsia" w:hAnsiTheme="majorHAnsi" w:cstheme="majorHAnsi"/>
                <w:caps/>
                <w:noProof/>
              </w:rPr>
              <w:t>dílčí závěry k evaluačnímu okruhu II.</w:t>
            </w:r>
            <w:r w:rsidR="00E16011">
              <w:rPr>
                <w:noProof/>
                <w:webHidden/>
              </w:rPr>
              <w:tab/>
            </w:r>
            <w:r w:rsidR="008A090D">
              <w:rPr>
                <w:noProof/>
                <w:webHidden/>
              </w:rPr>
              <w:fldChar w:fldCharType="begin"/>
            </w:r>
            <w:r w:rsidR="00E16011">
              <w:rPr>
                <w:noProof/>
                <w:webHidden/>
              </w:rPr>
              <w:instrText xml:space="preserve"> PAGEREF _Toc5626465 \h </w:instrText>
            </w:r>
            <w:r w:rsidR="008A090D">
              <w:rPr>
                <w:noProof/>
                <w:webHidden/>
              </w:rPr>
            </w:r>
            <w:r w:rsidR="008A090D">
              <w:rPr>
                <w:noProof/>
                <w:webHidden/>
              </w:rPr>
              <w:fldChar w:fldCharType="separate"/>
            </w:r>
            <w:r w:rsidR="00E5552A">
              <w:rPr>
                <w:noProof/>
                <w:webHidden/>
              </w:rPr>
              <w:t>61</w:t>
            </w:r>
            <w:r w:rsidR="008A090D">
              <w:rPr>
                <w:noProof/>
                <w:webHidden/>
              </w:rPr>
              <w:fldChar w:fldCharType="end"/>
            </w:r>
          </w:hyperlink>
        </w:p>
        <w:p w14:paraId="52EDDED5" w14:textId="77777777" w:rsidR="00E16011" w:rsidRDefault="009B14C0">
          <w:pPr>
            <w:pStyle w:val="Obsah1"/>
            <w:rPr>
              <w:rFonts w:asciiTheme="minorHAnsi" w:eastAsiaTheme="minorEastAsia" w:hAnsiTheme="minorHAnsi" w:cstheme="minorBidi"/>
              <w:b w:val="0"/>
              <w:bCs w:val="0"/>
              <w:caps w:val="0"/>
              <w:noProof/>
              <w:spacing w:val="0"/>
              <w:szCs w:val="22"/>
              <w:lang w:eastAsia="cs-CZ" w:bidi="ar-SA"/>
            </w:rPr>
          </w:pPr>
          <w:hyperlink w:anchor="_Toc5626466" w:history="1">
            <w:r w:rsidR="00E16011" w:rsidRPr="0072309B">
              <w:rPr>
                <w:rStyle w:val="Hypertextovodkaz"/>
                <w:rFonts w:asciiTheme="majorHAnsi" w:eastAsiaTheme="majorEastAsia" w:hAnsiTheme="majorHAnsi" w:cstheme="majorBidi"/>
                <w:noProof/>
              </w:rPr>
              <w:t>5. Evaluační okruh III. - Naplňování krajských RIS3 strategií</w:t>
            </w:r>
            <w:r w:rsidR="00E16011">
              <w:rPr>
                <w:noProof/>
                <w:webHidden/>
              </w:rPr>
              <w:tab/>
            </w:r>
            <w:r w:rsidR="008A090D">
              <w:rPr>
                <w:noProof/>
                <w:webHidden/>
              </w:rPr>
              <w:fldChar w:fldCharType="begin"/>
            </w:r>
            <w:r w:rsidR="00E16011">
              <w:rPr>
                <w:noProof/>
                <w:webHidden/>
              </w:rPr>
              <w:instrText xml:space="preserve"> PAGEREF _Toc5626466 \h </w:instrText>
            </w:r>
            <w:r w:rsidR="008A090D">
              <w:rPr>
                <w:noProof/>
                <w:webHidden/>
              </w:rPr>
            </w:r>
            <w:r w:rsidR="008A090D">
              <w:rPr>
                <w:noProof/>
                <w:webHidden/>
              </w:rPr>
              <w:fldChar w:fldCharType="separate"/>
            </w:r>
            <w:r w:rsidR="00E5552A">
              <w:rPr>
                <w:noProof/>
                <w:webHidden/>
              </w:rPr>
              <w:t>63</w:t>
            </w:r>
            <w:r w:rsidR="008A090D">
              <w:rPr>
                <w:noProof/>
                <w:webHidden/>
              </w:rPr>
              <w:fldChar w:fldCharType="end"/>
            </w:r>
          </w:hyperlink>
        </w:p>
        <w:p w14:paraId="0A8A8406" w14:textId="77777777" w:rsidR="00E16011" w:rsidRDefault="009B14C0">
          <w:pPr>
            <w:pStyle w:val="Obsah2"/>
            <w:tabs>
              <w:tab w:val="right" w:leader="dot" w:pos="9062"/>
            </w:tabs>
            <w:rPr>
              <w:rFonts w:asciiTheme="minorHAnsi" w:eastAsiaTheme="minorEastAsia" w:hAnsiTheme="minorHAnsi" w:cstheme="minorBidi"/>
              <w:smallCaps w:val="0"/>
              <w:noProof/>
              <w:spacing w:val="0"/>
              <w:szCs w:val="22"/>
              <w:lang w:eastAsia="cs-CZ" w:bidi="ar-SA"/>
            </w:rPr>
          </w:pPr>
          <w:hyperlink w:anchor="_Toc5626467" w:history="1">
            <w:r w:rsidR="00E16011" w:rsidRPr="0072309B">
              <w:rPr>
                <w:rStyle w:val="Hypertextovodkaz"/>
                <w:rFonts w:asciiTheme="majorHAnsi" w:eastAsiaTheme="majorEastAsia" w:hAnsiTheme="majorHAnsi" w:cstheme="majorBidi"/>
                <w:bCs/>
                <w:noProof/>
              </w:rPr>
              <w:t>5.1 Zapojení krajů do plnění Národní RIS3 strategie</w:t>
            </w:r>
            <w:r w:rsidR="00E16011">
              <w:rPr>
                <w:noProof/>
                <w:webHidden/>
              </w:rPr>
              <w:tab/>
            </w:r>
            <w:r w:rsidR="008A090D">
              <w:rPr>
                <w:noProof/>
                <w:webHidden/>
              </w:rPr>
              <w:fldChar w:fldCharType="begin"/>
            </w:r>
            <w:r w:rsidR="00E16011">
              <w:rPr>
                <w:noProof/>
                <w:webHidden/>
              </w:rPr>
              <w:instrText xml:space="preserve"> PAGEREF _Toc5626467 \h </w:instrText>
            </w:r>
            <w:r w:rsidR="008A090D">
              <w:rPr>
                <w:noProof/>
                <w:webHidden/>
              </w:rPr>
            </w:r>
            <w:r w:rsidR="008A090D">
              <w:rPr>
                <w:noProof/>
                <w:webHidden/>
              </w:rPr>
              <w:fldChar w:fldCharType="separate"/>
            </w:r>
            <w:r w:rsidR="00E5552A">
              <w:rPr>
                <w:noProof/>
                <w:webHidden/>
              </w:rPr>
              <w:t>63</w:t>
            </w:r>
            <w:r w:rsidR="008A090D">
              <w:rPr>
                <w:noProof/>
                <w:webHidden/>
              </w:rPr>
              <w:fldChar w:fldCharType="end"/>
            </w:r>
          </w:hyperlink>
        </w:p>
        <w:p w14:paraId="7EF78A35"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68" w:history="1">
            <w:r w:rsidR="00E16011" w:rsidRPr="0072309B">
              <w:rPr>
                <w:rStyle w:val="Hypertextovodkaz"/>
                <w:rFonts w:asciiTheme="majorHAnsi" w:eastAsiaTheme="majorEastAsia" w:hAnsiTheme="majorHAnsi" w:cstheme="majorHAnsi"/>
                <w:caps/>
                <w:noProof/>
              </w:rPr>
              <w:t>5.1.1 Institucionální ukotvení realizace krajských RIS3 strategií</w:t>
            </w:r>
            <w:r w:rsidR="00E16011">
              <w:rPr>
                <w:noProof/>
                <w:webHidden/>
              </w:rPr>
              <w:tab/>
            </w:r>
            <w:r w:rsidR="008A090D">
              <w:rPr>
                <w:noProof/>
                <w:webHidden/>
              </w:rPr>
              <w:fldChar w:fldCharType="begin"/>
            </w:r>
            <w:r w:rsidR="00E16011">
              <w:rPr>
                <w:noProof/>
                <w:webHidden/>
              </w:rPr>
              <w:instrText xml:space="preserve"> PAGEREF _Toc5626468 \h </w:instrText>
            </w:r>
            <w:r w:rsidR="008A090D">
              <w:rPr>
                <w:noProof/>
                <w:webHidden/>
              </w:rPr>
            </w:r>
            <w:r w:rsidR="008A090D">
              <w:rPr>
                <w:noProof/>
                <w:webHidden/>
              </w:rPr>
              <w:fldChar w:fldCharType="separate"/>
            </w:r>
            <w:r w:rsidR="00E5552A">
              <w:rPr>
                <w:noProof/>
                <w:webHidden/>
              </w:rPr>
              <w:t>63</w:t>
            </w:r>
            <w:r w:rsidR="008A090D">
              <w:rPr>
                <w:noProof/>
                <w:webHidden/>
              </w:rPr>
              <w:fldChar w:fldCharType="end"/>
            </w:r>
          </w:hyperlink>
        </w:p>
        <w:p w14:paraId="797DFDA6"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69" w:history="1">
            <w:r w:rsidR="00E16011" w:rsidRPr="0072309B">
              <w:rPr>
                <w:rStyle w:val="Hypertextovodkaz"/>
                <w:rFonts w:asciiTheme="majorHAnsi" w:eastAsiaTheme="majorEastAsia" w:hAnsiTheme="majorHAnsi" w:cstheme="majorHAnsi"/>
                <w:caps/>
                <w:noProof/>
              </w:rPr>
              <w:t>5.1.2 Krajští RIS3 manažeři a koordinátoři</w:t>
            </w:r>
            <w:r w:rsidR="00E16011">
              <w:rPr>
                <w:noProof/>
                <w:webHidden/>
              </w:rPr>
              <w:tab/>
            </w:r>
            <w:r w:rsidR="008A090D">
              <w:rPr>
                <w:noProof/>
                <w:webHidden/>
              </w:rPr>
              <w:fldChar w:fldCharType="begin"/>
            </w:r>
            <w:r w:rsidR="00E16011">
              <w:rPr>
                <w:noProof/>
                <w:webHidden/>
              </w:rPr>
              <w:instrText xml:space="preserve"> PAGEREF _Toc5626469 \h </w:instrText>
            </w:r>
            <w:r w:rsidR="008A090D">
              <w:rPr>
                <w:noProof/>
                <w:webHidden/>
              </w:rPr>
            </w:r>
            <w:r w:rsidR="008A090D">
              <w:rPr>
                <w:noProof/>
                <w:webHidden/>
              </w:rPr>
              <w:fldChar w:fldCharType="separate"/>
            </w:r>
            <w:r w:rsidR="00E5552A">
              <w:rPr>
                <w:noProof/>
                <w:webHidden/>
              </w:rPr>
              <w:t>65</w:t>
            </w:r>
            <w:r w:rsidR="008A090D">
              <w:rPr>
                <w:noProof/>
                <w:webHidden/>
              </w:rPr>
              <w:fldChar w:fldCharType="end"/>
            </w:r>
          </w:hyperlink>
        </w:p>
        <w:p w14:paraId="7178C6CF"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70" w:history="1">
            <w:r w:rsidR="00E16011" w:rsidRPr="0072309B">
              <w:rPr>
                <w:rStyle w:val="Hypertextovodkaz"/>
                <w:rFonts w:asciiTheme="majorHAnsi" w:eastAsiaTheme="majorEastAsia" w:hAnsiTheme="majorHAnsi" w:cstheme="majorHAnsi"/>
                <w:caps/>
                <w:noProof/>
              </w:rPr>
              <w:t>5.1.3 Smart akcelerátor</w:t>
            </w:r>
            <w:r w:rsidR="00E16011">
              <w:rPr>
                <w:noProof/>
                <w:webHidden/>
              </w:rPr>
              <w:tab/>
            </w:r>
            <w:r w:rsidR="008A090D">
              <w:rPr>
                <w:noProof/>
                <w:webHidden/>
              </w:rPr>
              <w:fldChar w:fldCharType="begin"/>
            </w:r>
            <w:r w:rsidR="00E16011">
              <w:rPr>
                <w:noProof/>
                <w:webHidden/>
              </w:rPr>
              <w:instrText xml:space="preserve"> PAGEREF _Toc5626470 \h </w:instrText>
            </w:r>
            <w:r w:rsidR="008A090D">
              <w:rPr>
                <w:noProof/>
                <w:webHidden/>
              </w:rPr>
            </w:r>
            <w:r w:rsidR="008A090D">
              <w:rPr>
                <w:noProof/>
                <w:webHidden/>
              </w:rPr>
              <w:fldChar w:fldCharType="separate"/>
            </w:r>
            <w:r w:rsidR="00E5552A">
              <w:rPr>
                <w:noProof/>
                <w:webHidden/>
              </w:rPr>
              <w:t>66</w:t>
            </w:r>
            <w:r w:rsidR="008A090D">
              <w:rPr>
                <w:noProof/>
                <w:webHidden/>
              </w:rPr>
              <w:fldChar w:fldCharType="end"/>
            </w:r>
          </w:hyperlink>
        </w:p>
        <w:p w14:paraId="416FD6A1" w14:textId="77777777" w:rsidR="00E16011" w:rsidRDefault="009B14C0">
          <w:pPr>
            <w:pStyle w:val="Obsah2"/>
            <w:tabs>
              <w:tab w:val="right" w:leader="dot" w:pos="9062"/>
            </w:tabs>
            <w:rPr>
              <w:rFonts w:asciiTheme="minorHAnsi" w:eastAsiaTheme="minorEastAsia" w:hAnsiTheme="minorHAnsi" w:cstheme="minorBidi"/>
              <w:smallCaps w:val="0"/>
              <w:noProof/>
              <w:spacing w:val="0"/>
              <w:szCs w:val="22"/>
              <w:lang w:eastAsia="cs-CZ" w:bidi="ar-SA"/>
            </w:rPr>
          </w:pPr>
          <w:hyperlink w:anchor="_Toc5626471" w:history="1">
            <w:r w:rsidR="00E16011" w:rsidRPr="0072309B">
              <w:rPr>
                <w:rStyle w:val="Hypertextovodkaz"/>
                <w:rFonts w:asciiTheme="majorHAnsi" w:eastAsiaTheme="majorEastAsia" w:hAnsiTheme="majorHAnsi" w:cstheme="majorBidi"/>
                <w:bCs/>
                <w:noProof/>
              </w:rPr>
              <w:t>5.2 Podíl krajů na plnění Národní RIS3  strategie</w:t>
            </w:r>
            <w:r w:rsidR="00E16011">
              <w:rPr>
                <w:noProof/>
                <w:webHidden/>
              </w:rPr>
              <w:tab/>
            </w:r>
            <w:r w:rsidR="008A090D">
              <w:rPr>
                <w:noProof/>
                <w:webHidden/>
              </w:rPr>
              <w:fldChar w:fldCharType="begin"/>
            </w:r>
            <w:r w:rsidR="00E16011">
              <w:rPr>
                <w:noProof/>
                <w:webHidden/>
              </w:rPr>
              <w:instrText xml:space="preserve"> PAGEREF _Toc5626471 \h </w:instrText>
            </w:r>
            <w:r w:rsidR="008A090D">
              <w:rPr>
                <w:noProof/>
                <w:webHidden/>
              </w:rPr>
            </w:r>
            <w:r w:rsidR="008A090D">
              <w:rPr>
                <w:noProof/>
                <w:webHidden/>
              </w:rPr>
              <w:fldChar w:fldCharType="separate"/>
            </w:r>
            <w:r w:rsidR="00E5552A">
              <w:rPr>
                <w:noProof/>
                <w:webHidden/>
              </w:rPr>
              <w:t>68</w:t>
            </w:r>
            <w:r w:rsidR="008A090D">
              <w:rPr>
                <w:noProof/>
                <w:webHidden/>
              </w:rPr>
              <w:fldChar w:fldCharType="end"/>
            </w:r>
          </w:hyperlink>
        </w:p>
        <w:p w14:paraId="7A89B9D3"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72" w:history="1">
            <w:r w:rsidR="00E16011" w:rsidRPr="0072309B">
              <w:rPr>
                <w:rStyle w:val="Hypertextovodkaz"/>
                <w:rFonts w:asciiTheme="majorHAnsi" w:eastAsiaTheme="majorEastAsia" w:hAnsiTheme="majorHAnsi" w:cstheme="majorHAnsi"/>
                <w:caps/>
                <w:noProof/>
              </w:rPr>
              <w:t>5.2.1 Plnění NRIS3 strategie ve vztahu k reálnému ekonomickému potenciálu regionu</w:t>
            </w:r>
            <w:r w:rsidR="00E16011">
              <w:rPr>
                <w:noProof/>
                <w:webHidden/>
              </w:rPr>
              <w:tab/>
            </w:r>
            <w:r w:rsidR="008A090D">
              <w:rPr>
                <w:noProof/>
                <w:webHidden/>
              </w:rPr>
              <w:fldChar w:fldCharType="begin"/>
            </w:r>
            <w:r w:rsidR="00E16011">
              <w:rPr>
                <w:noProof/>
                <w:webHidden/>
              </w:rPr>
              <w:instrText xml:space="preserve"> PAGEREF _Toc5626472 \h </w:instrText>
            </w:r>
            <w:r w:rsidR="008A090D">
              <w:rPr>
                <w:noProof/>
                <w:webHidden/>
              </w:rPr>
            </w:r>
            <w:r w:rsidR="008A090D">
              <w:rPr>
                <w:noProof/>
                <w:webHidden/>
              </w:rPr>
              <w:fldChar w:fldCharType="separate"/>
            </w:r>
            <w:r w:rsidR="00E5552A">
              <w:rPr>
                <w:noProof/>
                <w:webHidden/>
              </w:rPr>
              <w:t>68</w:t>
            </w:r>
            <w:r w:rsidR="008A090D">
              <w:rPr>
                <w:noProof/>
                <w:webHidden/>
              </w:rPr>
              <w:fldChar w:fldCharType="end"/>
            </w:r>
          </w:hyperlink>
        </w:p>
        <w:p w14:paraId="10AABD9B"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73" w:history="1">
            <w:r w:rsidR="00E16011" w:rsidRPr="0072309B">
              <w:rPr>
                <w:rStyle w:val="Hypertextovodkaz"/>
                <w:rFonts w:asciiTheme="majorHAnsi" w:eastAsiaTheme="majorEastAsia" w:hAnsiTheme="majorHAnsi" w:cstheme="majorHAnsi"/>
                <w:caps/>
                <w:noProof/>
              </w:rPr>
              <w:t>5.2.2 Krajské přílohy Národní RIS3 strategie</w:t>
            </w:r>
            <w:r w:rsidR="00E16011">
              <w:rPr>
                <w:noProof/>
                <w:webHidden/>
              </w:rPr>
              <w:tab/>
            </w:r>
            <w:r w:rsidR="008A090D">
              <w:rPr>
                <w:noProof/>
                <w:webHidden/>
              </w:rPr>
              <w:fldChar w:fldCharType="begin"/>
            </w:r>
            <w:r w:rsidR="00E16011">
              <w:rPr>
                <w:noProof/>
                <w:webHidden/>
              </w:rPr>
              <w:instrText xml:space="preserve"> PAGEREF _Toc5626473 \h </w:instrText>
            </w:r>
            <w:r w:rsidR="008A090D">
              <w:rPr>
                <w:noProof/>
                <w:webHidden/>
              </w:rPr>
            </w:r>
            <w:r w:rsidR="008A090D">
              <w:rPr>
                <w:noProof/>
                <w:webHidden/>
              </w:rPr>
              <w:fldChar w:fldCharType="separate"/>
            </w:r>
            <w:r w:rsidR="00E5552A">
              <w:rPr>
                <w:noProof/>
                <w:webHidden/>
              </w:rPr>
              <w:t>70</w:t>
            </w:r>
            <w:r w:rsidR="008A090D">
              <w:rPr>
                <w:noProof/>
                <w:webHidden/>
              </w:rPr>
              <w:fldChar w:fldCharType="end"/>
            </w:r>
          </w:hyperlink>
        </w:p>
        <w:p w14:paraId="013890CB"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74" w:history="1">
            <w:r w:rsidR="00E16011" w:rsidRPr="0072309B">
              <w:rPr>
                <w:rStyle w:val="Hypertextovodkaz"/>
                <w:rFonts w:asciiTheme="majorHAnsi" w:eastAsiaTheme="majorEastAsia" w:hAnsiTheme="majorHAnsi" w:cstheme="majorHAnsi"/>
                <w:caps/>
                <w:noProof/>
              </w:rPr>
              <w:t>dílčí závěry k evaluačnímu okruhu III.</w:t>
            </w:r>
            <w:r w:rsidR="00E16011">
              <w:rPr>
                <w:noProof/>
                <w:webHidden/>
              </w:rPr>
              <w:tab/>
            </w:r>
            <w:r w:rsidR="008A090D">
              <w:rPr>
                <w:noProof/>
                <w:webHidden/>
              </w:rPr>
              <w:fldChar w:fldCharType="begin"/>
            </w:r>
            <w:r w:rsidR="00E16011">
              <w:rPr>
                <w:noProof/>
                <w:webHidden/>
              </w:rPr>
              <w:instrText xml:space="preserve"> PAGEREF _Toc5626474 \h </w:instrText>
            </w:r>
            <w:r w:rsidR="008A090D">
              <w:rPr>
                <w:noProof/>
                <w:webHidden/>
              </w:rPr>
            </w:r>
            <w:r w:rsidR="008A090D">
              <w:rPr>
                <w:noProof/>
                <w:webHidden/>
              </w:rPr>
              <w:fldChar w:fldCharType="separate"/>
            </w:r>
            <w:r w:rsidR="00E5552A">
              <w:rPr>
                <w:noProof/>
                <w:webHidden/>
              </w:rPr>
              <w:t>71</w:t>
            </w:r>
            <w:r w:rsidR="008A090D">
              <w:rPr>
                <w:noProof/>
                <w:webHidden/>
              </w:rPr>
              <w:fldChar w:fldCharType="end"/>
            </w:r>
          </w:hyperlink>
        </w:p>
        <w:p w14:paraId="72177909" w14:textId="77777777" w:rsidR="00E16011" w:rsidRDefault="009B14C0">
          <w:pPr>
            <w:pStyle w:val="Obsah1"/>
            <w:rPr>
              <w:rFonts w:asciiTheme="minorHAnsi" w:eastAsiaTheme="minorEastAsia" w:hAnsiTheme="minorHAnsi" w:cstheme="minorBidi"/>
              <w:b w:val="0"/>
              <w:bCs w:val="0"/>
              <w:caps w:val="0"/>
              <w:noProof/>
              <w:spacing w:val="0"/>
              <w:szCs w:val="22"/>
              <w:lang w:eastAsia="cs-CZ" w:bidi="ar-SA"/>
            </w:rPr>
          </w:pPr>
          <w:hyperlink w:anchor="_Toc5626475" w:history="1">
            <w:r w:rsidR="00E16011" w:rsidRPr="0072309B">
              <w:rPr>
                <w:rStyle w:val="Hypertextovodkaz"/>
                <w:rFonts w:asciiTheme="majorHAnsi" w:eastAsiaTheme="majorEastAsia" w:hAnsiTheme="majorHAnsi" w:cstheme="majorBidi"/>
                <w:noProof/>
              </w:rPr>
              <w:t>6. Evaluační okruh IV. - Vyhodnocení fungování systému implementace RIS3</w:t>
            </w:r>
            <w:r w:rsidR="00E16011">
              <w:rPr>
                <w:noProof/>
                <w:webHidden/>
              </w:rPr>
              <w:tab/>
            </w:r>
            <w:r w:rsidR="008A090D">
              <w:rPr>
                <w:noProof/>
                <w:webHidden/>
              </w:rPr>
              <w:fldChar w:fldCharType="begin"/>
            </w:r>
            <w:r w:rsidR="00E16011">
              <w:rPr>
                <w:noProof/>
                <w:webHidden/>
              </w:rPr>
              <w:instrText xml:space="preserve"> PAGEREF _Toc5626475 \h </w:instrText>
            </w:r>
            <w:r w:rsidR="008A090D">
              <w:rPr>
                <w:noProof/>
                <w:webHidden/>
              </w:rPr>
            </w:r>
            <w:r w:rsidR="008A090D">
              <w:rPr>
                <w:noProof/>
                <w:webHidden/>
              </w:rPr>
              <w:fldChar w:fldCharType="separate"/>
            </w:r>
            <w:r w:rsidR="00E5552A">
              <w:rPr>
                <w:noProof/>
                <w:webHidden/>
              </w:rPr>
              <w:t>72</w:t>
            </w:r>
            <w:r w:rsidR="008A090D">
              <w:rPr>
                <w:noProof/>
                <w:webHidden/>
              </w:rPr>
              <w:fldChar w:fldCharType="end"/>
            </w:r>
          </w:hyperlink>
        </w:p>
        <w:p w14:paraId="098B3E71" w14:textId="77777777" w:rsidR="00E16011" w:rsidRDefault="009B14C0">
          <w:pPr>
            <w:pStyle w:val="Obsah2"/>
            <w:tabs>
              <w:tab w:val="right" w:leader="dot" w:pos="9062"/>
            </w:tabs>
            <w:rPr>
              <w:rFonts w:asciiTheme="minorHAnsi" w:eastAsiaTheme="minorEastAsia" w:hAnsiTheme="minorHAnsi" w:cstheme="minorBidi"/>
              <w:smallCaps w:val="0"/>
              <w:noProof/>
              <w:spacing w:val="0"/>
              <w:szCs w:val="22"/>
              <w:lang w:eastAsia="cs-CZ" w:bidi="ar-SA"/>
            </w:rPr>
          </w:pPr>
          <w:hyperlink w:anchor="_Toc5626476" w:history="1">
            <w:r w:rsidR="00E16011" w:rsidRPr="0072309B">
              <w:rPr>
                <w:rStyle w:val="Hypertextovodkaz"/>
                <w:rFonts w:asciiTheme="majorHAnsi" w:eastAsiaTheme="majorEastAsia" w:hAnsiTheme="majorHAnsi" w:cstheme="majorBidi"/>
                <w:bCs/>
                <w:noProof/>
              </w:rPr>
              <w:t>6.1 Organizační zajištění implementace Národní RIS3 strategie</w:t>
            </w:r>
            <w:r w:rsidR="00E16011">
              <w:rPr>
                <w:noProof/>
                <w:webHidden/>
              </w:rPr>
              <w:tab/>
            </w:r>
            <w:r w:rsidR="008A090D">
              <w:rPr>
                <w:noProof/>
                <w:webHidden/>
              </w:rPr>
              <w:fldChar w:fldCharType="begin"/>
            </w:r>
            <w:r w:rsidR="00E16011">
              <w:rPr>
                <w:noProof/>
                <w:webHidden/>
              </w:rPr>
              <w:instrText xml:space="preserve"> PAGEREF _Toc5626476 \h </w:instrText>
            </w:r>
            <w:r w:rsidR="008A090D">
              <w:rPr>
                <w:noProof/>
                <w:webHidden/>
              </w:rPr>
            </w:r>
            <w:r w:rsidR="008A090D">
              <w:rPr>
                <w:noProof/>
                <w:webHidden/>
              </w:rPr>
              <w:fldChar w:fldCharType="separate"/>
            </w:r>
            <w:r w:rsidR="00E5552A">
              <w:rPr>
                <w:noProof/>
                <w:webHidden/>
              </w:rPr>
              <w:t>73</w:t>
            </w:r>
            <w:r w:rsidR="008A090D">
              <w:rPr>
                <w:noProof/>
                <w:webHidden/>
              </w:rPr>
              <w:fldChar w:fldCharType="end"/>
            </w:r>
          </w:hyperlink>
        </w:p>
        <w:p w14:paraId="3DE730EB" w14:textId="77777777" w:rsidR="00E16011" w:rsidRDefault="009B14C0">
          <w:pPr>
            <w:pStyle w:val="Obsah2"/>
            <w:tabs>
              <w:tab w:val="right" w:leader="dot" w:pos="9062"/>
            </w:tabs>
            <w:rPr>
              <w:rFonts w:asciiTheme="minorHAnsi" w:eastAsiaTheme="minorEastAsia" w:hAnsiTheme="minorHAnsi" w:cstheme="minorBidi"/>
              <w:smallCaps w:val="0"/>
              <w:noProof/>
              <w:spacing w:val="0"/>
              <w:szCs w:val="22"/>
              <w:lang w:eastAsia="cs-CZ" w:bidi="ar-SA"/>
            </w:rPr>
          </w:pPr>
          <w:hyperlink w:anchor="_Toc5626477" w:history="1">
            <w:r w:rsidR="00E16011" w:rsidRPr="0072309B">
              <w:rPr>
                <w:rStyle w:val="Hypertextovodkaz"/>
                <w:rFonts w:asciiTheme="majorHAnsi" w:eastAsiaTheme="majorEastAsia" w:hAnsiTheme="majorHAnsi" w:cstheme="majorBidi"/>
                <w:bCs/>
                <w:noProof/>
              </w:rPr>
              <w:t>6.2 Entrepreneurial discovery proces</w:t>
            </w:r>
            <w:r w:rsidR="00E16011">
              <w:rPr>
                <w:noProof/>
                <w:webHidden/>
              </w:rPr>
              <w:tab/>
            </w:r>
            <w:r w:rsidR="008A090D">
              <w:rPr>
                <w:noProof/>
                <w:webHidden/>
              </w:rPr>
              <w:fldChar w:fldCharType="begin"/>
            </w:r>
            <w:r w:rsidR="00E16011">
              <w:rPr>
                <w:noProof/>
                <w:webHidden/>
              </w:rPr>
              <w:instrText xml:space="preserve"> PAGEREF _Toc5626477 \h </w:instrText>
            </w:r>
            <w:r w:rsidR="008A090D">
              <w:rPr>
                <w:noProof/>
                <w:webHidden/>
              </w:rPr>
            </w:r>
            <w:r w:rsidR="008A090D">
              <w:rPr>
                <w:noProof/>
                <w:webHidden/>
              </w:rPr>
              <w:fldChar w:fldCharType="separate"/>
            </w:r>
            <w:r w:rsidR="00E5552A">
              <w:rPr>
                <w:noProof/>
                <w:webHidden/>
              </w:rPr>
              <w:t>77</w:t>
            </w:r>
            <w:r w:rsidR="008A090D">
              <w:rPr>
                <w:noProof/>
                <w:webHidden/>
              </w:rPr>
              <w:fldChar w:fldCharType="end"/>
            </w:r>
          </w:hyperlink>
        </w:p>
        <w:p w14:paraId="694C863A"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78" w:history="1">
            <w:r w:rsidR="00E16011" w:rsidRPr="0072309B">
              <w:rPr>
                <w:rStyle w:val="Hypertextovodkaz"/>
                <w:rFonts w:asciiTheme="majorHAnsi" w:eastAsiaTheme="majorEastAsia" w:hAnsiTheme="majorHAnsi" w:cstheme="majorHAnsi"/>
                <w:caps/>
                <w:noProof/>
              </w:rPr>
              <w:t>6.2.1 EDP proces v národní ris3 strategii</w:t>
            </w:r>
            <w:r w:rsidR="00E16011">
              <w:rPr>
                <w:noProof/>
                <w:webHidden/>
              </w:rPr>
              <w:tab/>
            </w:r>
            <w:r w:rsidR="008A090D">
              <w:rPr>
                <w:noProof/>
                <w:webHidden/>
              </w:rPr>
              <w:fldChar w:fldCharType="begin"/>
            </w:r>
            <w:r w:rsidR="00E16011">
              <w:rPr>
                <w:noProof/>
                <w:webHidden/>
              </w:rPr>
              <w:instrText xml:space="preserve"> PAGEREF _Toc5626478 \h </w:instrText>
            </w:r>
            <w:r w:rsidR="008A090D">
              <w:rPr>
                <w:noProof/>
                <w:webHidden/>
              </w:rPr>
            </w:r>
            <w:r w:rsidR="008A090D">
              <w:rPr>
                <w:noProof/>
                <w:webHidden/>
              </w:rPr>
              <w:fldChar w:fldCharType="separate"/>
            </w:r>
            <w:r w:rsidR="00E5552A">
              <w:rPr>
                <w:noProof/>
                <w:webHidden/>
              </w:rPr>
              <w:t>77</w:t>
            </w:r>
            <w:r w:rsidR="008A090D">
              <w:rPr>
                <w:noProof/>
                <w:webHidden/>
              </w:rPr>
              <w:fldChar w:fldCharType="end"/>
            </w:r>
          </w:hyperlink>
        </w:p>
        <w:p w14:paraId="37C65DA0"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79" w:history="1">
            <w:r w:rsidR="00E16011" w:rsidRPr="0072309B">
              <w:rPr>
                <w:rStyle w:val="Hypertextovodkaz"/>
                <w:rFonts w:asciiTheme="majorHAnsi" w:eastAsiaTheme="majorEastAsia" w:hAnsiTheme="majorHAnsi" w:cstheme="majorHAnsi"/>
                <w:caps/>
                <w:noProof/>
              </w:rPr>
              <w:t>6.2.2 vnímání EDP procesu zapojenými stakeholdery</w:t>
            </w:r>
            <w:r w:rsidR="00E16011">
              <w:rPr>
                <w:noProof/>
                <w:webHidden/>
              </w:rPr>
              <w:tab/>
            </w:r>
            <w:r w:rsidR="008A090D">
              <w:rPr>
                <w:noProof/>
                <w:webHidden/>
              </w:rPr>
              <w:fldChar w:fldCharType="begin"/>
            </w:r>
            <w:r w:rsidR="00E16011">
              <w:rPr>
                <w:noProof/>
                <w:webHidden/>
              </w:rPr>
              <w:instrText xml:space="preserve"> PAGEREF _Toc5626479 \h </w:instrText>
            </w:r>
            <w:r w:rsidR="008A090D">
              <w:rPr>
                <w:noProof/>
                <w:webHidden/>
              </w:rPr>
            </w:r>
            <w:r w:rsidR="008A090D">
              <w:rPr>
                <w:noProof/>
                <w:webHidden/>
              </w:rPr>
              <w:fldChar w:fldCharType="separate"/>
            </w:r>
            <w:r w:rsidR="00E5552A">
              <w:rPr>
                <w:noProof/>
                <w:webHidden/>
              </w:rPr>
              <w:t>78</w:t>
            </w:r>
            <w:r w:rsidR="008A090D">
              <w:rPr>
                <w:noProof/>
                <w:webHidden/>
              </w:rPr>
              <w:fldChar w:fldCharType="end"/>
            </w:r>
          </w:hyperlink>
        </w:p>
        <w:p w14:paraId="500294F2" w14:textId="77777777" w:rsidR="00E16011" w:rsidRDefault="009B14C0">
          <w:pPr>
            <w:pStyle w:val="Obsah2"/>
            <w:tabs>
              <w:tab w:val="right" w:leader="dot" w:pos="9062"/>
            </w:tabs>
            <w:rPr>
              <w:rFonts w:asciiTheme="minorHAnsi" w:eastAsiaTheme="minorEastAsia" w:hAnsiTheme="minorHAnsi" w:cstheme="minorBidi"/>
              <w:smallCaps w:val="0"/>
              <w:noProof/>
              <w:spacing w:val="0"/>
              <w:szCs w:val="22"/>
              <w:lang w:eastAsia="cs-CZ" w:bidi="ar-SA"/>
            </w:rPr>
          </w:pPr>
          <w:hyperlink w:anchor="_Toc5626480" w:history="1">
            <w:r w:rsidR="00E16011" w:rsidRPr="0072309B">
              <w:rPr>
                <w:rStyle w:val="Hypertextovodkaz"/>
                <w:rFonts w:asciiTheme="majorHAnsi" w:eastAsiaTheme="majorEastAsia" w:hAnsiTheme="majorHAnsi" w:cstheme="majorBidi"/>
                <w:bCs/>
                <w:noProof/>
              </w:rPr>
              <w:t>6.3 Soulad projektů s Národní RIS3 strategií</w:t>
            </w:r>
            <w:r w:rsidR="00E16011">
              <w:rPr>
                <w:noProof/>
                <w:webHidden/>
              </w:rPr>
              <w:tab/>
            </w:r>
            <w:r w:rsidR="008A090D">
              <w:rPr>
                <w:noProof/>
                <w:webHidden/>
              </w:rPr>
              <w:fldChar w:fldCharType="begin"/>
            </w:r>
            <w:r w:rsidR="00E16011">
              <w:rPr>
                <w:noProof/>
                <w:webHidden/>
              </w:rPr>
              <w:instrText xml:space="preserve"> PAGEREF _Toc5626480 \h </w:instrText>
            </w:r>
            <w:r w:rsidR="008A090D">
              <w:rPr>
                <w:noProof/>
                <w:webHidden/>
              </w:rPr>
            </w:r>
            <w:r w:rsidR="008A090D">
              <w:rPr>
                <w:noProof/>
                <w:webHidden/>
              </w:rPr>
              <w:fldChar w:fldCharType="separate"/>
            </w:r>
            <w:r w:rsidR="00E5552A">
              <w:rPr>
                <w:noProof/>
                <w:webHidden/>
              </w:rPr>
              <w:t>81</w:t>
            </w:r>
            <w:r w:rsidR="008A090D">
              <w:rPr>
                <w:noProof/>
                <w:webHidden/>
              </w:rPr>
              <w:fldChar w:fldCharType="end"/>
            </w:r>
          </w:hyperlink>
        </w:p>
        <w:p w14:paraId="0E18EF3E" w14:textId="77777777" w:rsidR="00E16011" w:rsidRDefault="009B14C0">
          <w:pPr>
            <w:pStyle w:val="Obsah3"/>
            <w:tabs>
              <w:tab w:val="right" w:leader="dot" w:pos="9062"/>
            </w:tabs>
            <w:rPr>
              <w:rFonts w:asciiTheme="minorHAnsi" w:eastAsiaTheme="minorEastAsia" w:hAnsiTheme="minorHAnsi" w:cstheme="minorBidi"/>
              <w:i w:val="0"/>
              <w:iCs w:val="0"/>
              <w:noProof/>
              <w:spacing w:val="0"/>
              <w:szCs w:val="22"/>
              <w:lang w:eastAsia="cs-CZ" w:bidi="ar-SA"/>
            </w:rPr>
          </w:pPr>
          <w:hyperlink w:anchor="_Toc5626481" w:history="1">
            <w:r w:rsidR="00E16011" w:rsidRPr="0072309B">
              <w:rPr>
                <w:rStyle w:val="Hypertextovodkaz"/>
                <w:rFonts w:asciiTheme="majorHAnsi" w:eastAsiaTheme="majorEastAsia" w:hAnsiTheme="majorHAnsi" w:cstheme="majorHAnsi"/>
                <w:caps/>
                <w:noProof/>
              </w:rPr>
              <w:t>Dílčí závěry k evaluačnímu okruhu Iv.</w:t>
            </w:r>
            <w:r w:rsidR="00E16011">
              <w:rPr>
                <w:noProof/>
                <w:webHidden/>
              </w:rPr>
              <w:tab/>
            </w:r>
            <w:r w:rsidR="008A090D">
              <w:rPr>
                <w:noProof/>
                <w:webHidden/>
              </w:rPr>
              <w:fldChar w:fldCharType="begin"/>
            </w:r>
            <w:r w:rsidR="00E16011">
              <w:rPr>
                <w:noProof/>
                <w:webHidden/>
              </w:rPr>
              <w:instrText xml:space="preserve"> PAGEREF _Toc5626481 \h </w:instrText>
            </w:r>
            <w:r w:rsidR="008A090D">
              <w:rPr>
                <w:noProof/>
                <w:webHidden/>
              </w:rPr>
            </w:r>
            <w:r w:rsidR="008A090D">
              <w:rPr>
                <w:noProof/>
                <w:webHidden/>
              </w:rPr>
              <w:fldChar w:fldCharType="separate"/>
            </w:r>
            <w:r w:rsidR="00E5552A">
              <w:rPr>
                <w:noProof/>
                <w:webHidden/>
              </w:rPr>
              <w:t>83</w:t>
            </w:r>
            <w:r w:rsidR="008A090D">
              <w:rPr>
                <w:noProof/>
                <w:webHidden/>
              </w:rPr>
              <w:fldChar w:fldCharType="end"/>
            </w:r>
          </w:hyperlink>
        </w:p>
        <w:p w14:paraId="6D9EE381" w14:textId="77777777" w:rsidR="00E16011" w:rsidRDefault="009B14C0">
          <w:pPr>
            <w:pStyle w:val="Obsah1"/>
            <w:rPr>
              <w:rFonts w:asciiTheme="minorHAnsi" w:eastAsiaTheme="minorEastAsia" w:hAnsiTheme="minorHAnsi" w:cstheme="minorBidi"/>
              <w:b w:val="0"/>
              <w:bCs w:val="0"/>
              <w:caps w:val="0"/>
              <w:noProof/>
              <w:spacing w:val="0"/>
              <w:szCs w:val="22"/>
              <w:lang w:eastAsia="cs-CZ" w:bidi="ar-SA"/>
            </w:rPr>
          </w:pPr>
          <w:hyperlink w:anchor="_Toc5626482" w:history="1">
            <w:r w:rsidR="00E16011" w:rsidRPr="0072309B">
              <w:rPr>
                <w:rStyle w:val="Hypertextovodkaz"/>
                <w:rFonts w:asciiTheme="majorHAnsi" w:eastAsiaTheme="majorEastAsia" w:hAnsiTheme="majorHAnsi" w:cstheme="majorHAnsi"/>
                <w:noProof/>
              </w:rPr>
              <w:t>7. Souhrn hlavních závěrů a doporučení</w:t>
            </w:r>
            <w:r w:rsidR="00E16011">
              <w:rPr>
                <w:noProof/>
                <w:webHidden/>
              </w:rPr>
              <w:tab/>
            </w:r>
            <w:r w:rsidR="008A090D">
              <w:rPr>
                <w:noProof/>
                <w:webHidden/>
              </w:rPr>
              <w:fldChar w:fldCharType="begin"/>
            </w:r>
            <w:r w:rsidR="00E16011">
              <w:rPr>
                <w:noProof/>
                <w:webHidden/>
              </w:rPr>
              <w:instrText xml:space="preserve"> PAGEREF _Toc5626482 \h </w:instrText>
            </w:r>
            <w:r w:rsidR="008A090D">
              <w:rPr>
                <w:noProof/>
                <w:webHidden/>
              </w:rPr>
            </w:r>
            <w:r w:rsidR="008A090D">
              <w:rPr>
                <w:noProof/>
                <w:webHidden/>
              </w:rPr>
              <w:fldChar w:fldCharType="separate"/>
            </w:r>
            <w:r w:rsidR="00E5552A">
              <w:rPr>
                <w:noProof/>
                <w:webHidden/>
              </w:rPr>
              <w:t>84</w:t>
            </w:r>
            <w:r w:rsidR="008A090D">
              <w:rPr>
                <w:noProof/>
                <w:webHidden/>
              </w:rPr>
              <w:fldChar w:fldCharType="end"/>
            </w:r>
          </w:hyperlink>
        </w:p>
        <w:p w14:paraId="038ABEBB" w14:textId="77777777" w:rsidR="00E16011" w:rsidRDefault="009B14C0">
          <w:pPr>
            <w:pStyle w:val="Obsah1"/>
            <w:rPr>
              <w:rFonts w:asciiTheme="minorHAnsi" w:eastAsiaTheme="minorEastAsia" w:hAnsiTheme="minorHAnsi" w:cstheme="minorBidi"/>
              <w:b w:val="0"/>
              <w:bCs w:val="0"/>
              <w:caps w:val="0"/>
              <w:noProof/>
              <w:spacing w:val="0"/>
              <w:szCs w:val="22"/>
              <w:lang w:eastAsia="cs-CZ" w:bidi="ar-SA"/>
            </w:rPr>
          </w:pPr>
          <w:hyperlink w:anchor="_Toc5626483" w:history="1">
            <w:r w:rsidR="00E16011" w:rsidRPr="0072309B">
              <w:rPr>
                <w:rStyle w:val="Hypertextovodkaz"/>
                <w:rFonts w:asciiTheme="majorHAnsi" w:eastAsiaTheme="majorEastAsia" w:hAnsiTheme="majorHAnsi" w:cstheme="majorHAnsi"/>
                <w:noProof/>
              </w:rPr>
              <w:t>8. Zdroje literatury a dat</w:t>
            </w:r>
            <w:r w:rsidR="00E16011">
              <w:rPr>
                <w:noProof/>
                <w:webHidden/>
              </w:rPr>
              <w:tab/>
            </w:r>
            <w:r w:rsidR="008A090D">
              <w:rPr>
                <w:noProof/>
                <w:webHidden/>
              </w:rPr>
              <w:fldChar w:fldCharType="begin"/>
            </w:r>
            <w:r w:rsidR="00E16011">
              <w:rPr>
                <w:noProof/>
                <w:webHidden/>
              </w:rPr>
              <w:instrText xml:space="preserve"> PAGEREF _Toc5626483 \h </w:instrText>
            </w:r>
            <w:r w:rsidR="008A090D">
              <w:rPr>
                <w:noProof/>
                <w:webHidden/>
              </w:rPr>
            </w:r>
            <w:r w:rsidR="008A090D">
              <w:rPr>
                <w:noProof/>
                <w:webHidden/>
              </w:rPr>
              <w:fldChar w:fldCharType="separate"/>
            </w:r>
            <w:r w:rsidR="00E5552A">
              <w:rPr>
                <w:noProof/>
                <w:webHidden/>
              </w:rPr>
              <w:t>89</w:t>
            </w:r>
            <w:r w:rsidR="008A090D">
              <w:rPr>
                <w:noProof/>
                <w:webHidden/>
              </w:rPr>
              <w:fldChar w:fldCharType="end"/>
            </w:r>
          </w:hyperlink>
        </w:p>
        <w:p w14:paraId="7CC3D0F0" w14:textId="77777777" w:rsidR="00885A8A" w:rsidRPr="00470046" w:rsidRDefault="008A090D">
          <w:r w:rsidRPr="00470046">
            <w:fldChar w:fldCharType="end"/>
          </w:r>
        </w:p>
      </w:sdtContent>
    </w:sdt>
    <w:p w14:paraId="7F33928D" w14:textId="77777777" w:rsidR="0078564A" w:rsidRDefault="0078564A">
      <w:pPr>
        <w:spacing w:before="0" w:after="0" w:line="240" w:lineRule="auto"/>
        <w:jc w:val="left"/>
        <w:rPr>
          <w:b/>
          <w:color w:val="004B8D"/>
          <w:sz w:val="32"/>
          <w:szCs w:val="32"/>
          <w:lang w:bidi="ar-SA"/>
        </w:rPr>
      </w:pPr>
      <w:r>
        <w:rPr>
          <w:b/>
          <w:color w:val="004B8D"/>
          <w:sz w:val="32"/>
          <w:szCs w:val="32"/>
          <w:lang w:bidi="ar-SA"/>
        </w:rPr>
        <w:br w:type="page"/>
      </w:r>
    </w:p>
    <w:p w14:paraId="788A25BA" w14:textId="77777777" w:rsidR="008F05DE" w:rsidRPr="008F05DE" w:rsidRDefault="008F05DE" w:rsidP="008F05DE">
      <w:pPr>
        <w:rPr>
          <w:b/>
          <w:color w:val="004B8D"/>
          <w:sz w:val="32"/>
          <w:szCs w:val="32"/>
          <w:lang w:bidi="ar-SA"/>
        </w:rPr>
      </w:pPr>
      <w:r w:rsidRPr="008F05DE">
        <w:rPr>
          <w:b/>
          <w:color w:val="004B8D"/>
          <w:sz w:val="32"/>
          <w:szCs w:val="32"/>
          <w:lang w:bidi="ar-SA"/>
        </w:rPr>
        <w:lastRenderedPageBreak/>
        <w:t>Seznam tabulek</w:t>
      </w:r>
    </w:p>
    <w:p w14:paraId="66D6502C" w14:textId="77777777" w:rsidR="00E16011" w:rsidRDefault="008A090D">
      <w:pPr>
        <w:pStyle w:val="Seznamobrzk"/>
        <w:tabs>
          <w:tab w:val="right" w:leader="dot" w:pos="9062"/>
        </w:tabs>
        <w:rPr>
          <w:rFonts w:asciiTheme="minorHAnsi" w:eastAsiaTheme="minorEastAsia" w:hAnsiTheme="minorHAnsi" w:cstheme="minorBidi"/>
          <w:noProof/>
          <w:spacing w:val="0"/>
          <w:szCs w:val="22"/>
          <w:lang w:eastAsia="cs-CZ" w:bidi="ar-SA"/>
        </w:rPr>
      </w:pPr>
      <w:r>
        <w:rPr>
          <w:rFonts w:cs="Arial-ItalicMT"/>
          <w:i/>
          <w:iCs/>
          <w:szCs w:val="22"/>
        </w:rPr>
        <w:fldChar w:fldCharType="begin"/>
      </w:r>
      <w:r w:rsidR="00D66402">
        <w:rPr>
          <w:rFonts w:cs="Arial-ItalicMT"/>
          <w:i/>
          <w:iCs/>
          <w:szCs w:val="22"/>
        </w:rPr>
        <w:instrText xml:space="preserve"> TOC \c "Tabulka č. " </w:instrText>
      </w:r>
      <w:r>
        <w:rPr>
          <w:rFonts w:cs="Arial-ItalicMT"/>
          <w:i/>
          <w:iCs/>
          <w:szCs w:val="22"/>
        </w:rPr>
        <w:fldChar w:fldCharType="separate"/>
      </w:r>
      <w:r w:rsidR="00E16011" w:rsidRPr="00FF2A84">
        <w:rPr>
          <w:rFonts w:cs="Arial-ItalicMT"/>
          <w:b/>
          <w:iCs/>
          <w:noProof/>
        </w:rPr>
        <w:t>Tabulka č. 1 -</w:t>
      </w:r>
      <w:r w:rsidR="00E16011" w:rsidRPr="00FF2A84">
        <w:rPr>
          <w:rFonts w:cs="Arial-ItalicMT"/>
          <w:iCs/>
          <w:noProof/>
        </w:rPr>
        <w:t xml:space="preserve"> </w:t>
      </w:r>
      <w:r w:rsidR="00E16011" w:rsidRPr="00FF2A84">
        <w:rPr>
          <w:i/>
          <w:noProof/>
        </w:rPr>
        <w:t>Harmonogram evaluace</w:t>
      </w:r>
      <w:r w:rsidR="00E16011">
        <w:rPr>
          <w:noProof/>
        </w:rPr>
        <w:tab/>
      </w:r>
      <w:r>
        <w:rPr>
          <w:noProof/>
        </w:rPr>
        <w:fldChar w:fldCharType="begin"/>
      </w:r>
      <w:r w:rsidR="00E16011">
        <w:rPr>
          <w:noProof/>
        </w:rPr>
        <w:instrText xml:space="preserve"> PAGEREF _Toc5626510 \h </w:instrText>
      </w:r>
      <w:r>
        <w:rPr>
          <w:noProof/>
        </w:rPr>
      </w:r>
      <w:r>
        <w:rPr>
          <w:noProof/>
        </w:rPr>
        <w:fldChar w:fldCharType="separate"/>
      </w:r>
      <w:r w:rsidR="00E5552A">
        <w:rPr>
          <w:noProof/>
        </w:rPr>
        <w:t>16</w:t>
      </w:r>
      <w:r>
        <w:rPr>
          <w:noProof/>
        </w:rPr>
        <w:fldChar w:fldCharType="end"/>
      </w:r>
    </w:p>
    <w:p w14:paraId="46CE8EB6"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FF2A84">
        <w:rPr>
          <w:rFonts w:cs="Arial-ItalicMT"/>
          <w:b/>
          <w:iCs/>
          <w:noProof/>
        </w:rPr>
        <w:t>Tabulka č. 2 -</w:t>
      </w:r>
      <w:r w:rsidRPr="00FF2A84">
        <w:rPr>
          <w:rFonts w:cs="Arial-ItalicMT"/>
          <w:iCs/>
          <w:noProof/>
        </w:rPr>
        <w:t xml:space="preserve"> </w:t>
      </w:r>
      <w:r w:rsidRPr="00FF2A84">
        <w:rPr>
          <w:i/>
          <w:noProof/>
        </w:rPr>
        <w:t>Přehled metod sběru a analýzy dat</w:t>
      </w:r>
      <w:r>
        <w:rPr>
          <w:noProof/>
        </w:rPr>
        <w:tab/>
      </w:r>
      <w:r w:rsidR="008A090D">
        <w:rPr>
          <w:noProof/>
        </w:rPr>
        <w:fldChar w:fldCharType="begin"/>
      </w:r>
      <w:r>
        <w:rPr>
          <w:noProof/>
        </w:rPr>
        <w:instrText xml:space="preserve"> PAGEREF _Toc5626511 \h </w:instrText>
      </w:r>
      <w:r w:rsidR="008A090D">
        <w:rPr>
          <w:noProof/>
        </w:rPr>
      </w:r>
      <w:r w:rsidR="008A090D">
        <w:rPr>
          <w:noProof/>
        </w:rPr>
        <w:fldChar w:fldCharType="separate"/>
      </w:r>
      <w:r w:rsidR="00E5552A">
        <w:rPr>
          <w:noProof/>
        </w:rPr>
        <w:t>17</w:t>
      </w:r>
      <w:r w:rsidR="008A090D">
        <w:rPr>
          <w:noProof/>
        </w:rPr>
        <w:fldChar w:fldCharType="end"/>
      </w:r>
    </w:p>
    <w:p w14:paraId="7D45B714"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FF2A84">
        <w:rPr>
          <w:rFonts w:cs="Arial-ItalicMT"/>
          <w:b/>
          <w:iCs/>
          <w:noProof/>
        </w:rPr>
        <w:t>Tabulka č. 3 -</w:t>
      </w:r>
      <w:r w:rsidRPr="00FF2A84">
        <w:rPr>
          <w:rFonts w:cs="Arial-ItalicMT"/>
          <w:iCs/>
          <w:noProof/>
        </w:rPr>
        <w:t xml:space="preserve"> </w:t>
      </w:r>
      <w:r w:rsidRPr="00FF2A84">
        <w:rPr>
          <w:i/>
          <w:noProof/>
        </w:rPr>
        <w:t>Přehled typů respondentů dotazníkových šetření</w:t>
      </w:r>
      <w:r>
        <w:rPr>
          <w:noProof/>
        </w:rPr>
        <w:tab/>
      </w:r>
      <w:r w:rsidR="008A090D">
        <w:rPr>
          <w:noProof/>
        </w:rPr>
        <w:fldChar w:fldCharType="begin"/>
      </w:r>
      <w:r>
        <w:rPr>
          <w:noProof/>
        </w:rPr>
        <w:instrText xml:space="preserve"> PAGEREF _Toc5626512 \h </w:instrText>
      </w:r>
      <w:r w:rsidR="008A090D">
        <w:rPr>
          <w:noProof/>
        </w:rPr>
      </w:r>
      <w:r w:rsidR="008A090D">
        <w:rPr>
          <w:noProof/>
        </w:rPr>
        <w:fldChar w:fldCharType="separate"/>
      </w:r>
      <w:r w:rsidR="00E5552A">
        <w:rPr>
          <w:noProof/>
        </w:rPr>
        <w:t>17</w:t>
      </w:r>
      <w:r w:rsidR="008A090D">
        <w:rPr>
          <w:noProof/>
        </w:rPr>
        <w:fldChar w:fldCharType="end"/>
      </w:r>
    </w:p>
    <w:p w14:paraId="768D67BC"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FF2A84">
        <w:rPr>
          <w:rFonts w:cs="Arial-ItalicMT"/>
          <w:b/>
          <w:iCs/>
          <w:noProof/>
        </w:rPr>
        <w:t>Tabulka č. 4 -</w:t>
      </w:r>
      <w:r w:rsidRPr="00FF2A84">
        <w:rPr>
          <w:rFonts w:cs="Arial-ItalicMT"/>
          <w:iCs/>
          <w:noProof/>
        </w:rPr>
        <w:t xml:space="preserve"> </w:t>
      </w:r>
      <w:r w:rsidRPr="00FF2A84">
        <w:rPr>
          <w:i/>
          <w:noProof/>
        </w:rPr>
        <w:t>Počet oslovených respondentů a návratnost dotazníků</w:t>
      </w:r>
      <w:r>
        <w:rPr>
          <w:noProof/>
        </w:rPr>
        <w:tab/>
      </w:r>
      <w:r w:rsidR="008A090D">
        <w:rPr>
          <w:noProof/>
        </w:rPr>
        <w:fldChar w:fldCharType="begin"/>
      </w:r>
      <w:r>
        <w:rPr>
          <w:noProof/>
        </w:rPr>
        <w:instrText xml:space="preserve"> PAGEREF _Toc5626513 \h </w:instrText>
      </w:r>
      <w:r w:rsidR="008A090D">
        <w:rPr>
          <w:noProof/>
        </w:rPr>
      </w:r>
      <w:r w:rsidR="008A090D">
        <w:rPr>
          <w:noProof/>
        </w:rPr>
        <w:fldChar w:fldCharType="separate"/>
      </w:r>
      <w:r w:rsidR="00E5552A">
        <w:rPr>
          <w:noProof/>
        </w:rPr>
        <w:t>18</w:t>
      </w:r>
      <w:r w:rsidR="008A090D">
        <w:rPr>
          <w:noProof/>
        </w:rPr>
        <w:fldChar w:fldCharType="end"/>
      </w:r>
    </w:p>
    <w:p w14:paraId="29D17FAC"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FF2A84">
        <w:rPr>
          <w:rFonts w:cs="Arial-ItalicMT"/>
          <w:b/>
          <w:iCs/>
          <w:noProof/>
        </w:rPr>
        <w:t>Tabulka č. 5 -</w:t>
      </w:r>
      <w:r w:rsidRPr="00FF2A84">
        <w:rPr>
          <w:rFonts w:cs="Arial-ItalicMT"/>
          <w:iCs/>
          <w:noProof/>
        </w:rPr>
        <w:t xml:space="preserve"> </w:t>
      </w:r>
      <w:r w:rsidRPr="00FF2A84">
        <w:rPr>
          <w:i/>
          <w:noProof/>
        </w:rPr>
        <w:t>Makroekonomický vývoj a prognóza 2013 - 2021</w:t>
      </w:r>
      <w:r>
        <w:rPr>
          <w:noProof/>
        </w:rPr>
        <w:tab/>
      </w:r>
      <w:r w:rsidR="008A090D">
        <w:rPr>
          <w:noProof/>
        </w:rPr>
        <w:fldChar w:fldCharType="begin"/>
      </w:r>
      <w:r>
        <w:rPr>
          <w:noProof/>
        </w:rPr>
        <w:instrText xml:space="preserve"> PAGEREF _Toc5626514 \h </w:instrText>
      </w:r>
      <w:r w:rsidR="008A090D">
        <w:rPr>
          <w:noProof/>
        </w:rPr>
      </w:r>
      <w:r w:rsidR="008A090D">
        <w:rPr>
          <w:noProof/>
        </w:rPr>
        <w:fldChar w:fldCharType="separate"/>
      </w:r>
      <w:r w:rsidR="00E5552A">
        <w:rPr>
          <w:noProof/>
        </w:rPr>
        <w:t>29</w:t>
      </w:r>
      <w:r w:rsidR="008A090D">
        <w:rPr>
          <w:noProof/>
        </w:rPr>
        <w:fldChar w:fldCharType="end"/>
      </w:r>
    </w:p>
    <w:p w14:paraId="651BC45F"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FF2A84">
        <w:rPr>
          <w:rFonts w:cs="Arial-ItalicMT"/>
          <w:b/>
          <w:iCs/>
          <w:noProof/>
        </w:rPr>
        <w:t>Tabulka č. 6 -</w:t>
      </w:r>
      <w:r w:rsidRPr="00FF2A84">
        <w:rPr>
          <w:rFonts w:cs="Arial-ItalicMT"/>
          <w:iCs/>
          <w:noProof/>
        </w:rPr>
        <w:t xml:space="preserve"> </w:t>
      </w:r>
      <w:r w:rsidRPr="00FF2A84">
        <w:rPr>
          <w:i/>
          <w:noProof/>
        </w:rPr>
        <w:t>Základní oblasti a jejich problémové okruhy</w:t>
      </w:r>
      <w:r>
        <w:rPr>
          <w:noProof/>
        </w:rPr>
        <w:tab/>
      </w:r>
      <w:r w:rsidR="008A090D">
        <w:rPr>
          <w:noProof/>
        </w:rPr>
        <w:fldChar w:fldCharType="begin"/>
      </w:r>
      <w:r>
        <w:rPr>
          <w:noProof/>
        </w:rPr>
        <w:instrText xml:space="preserve"> PAGEREF _Toc5626515 \h </w:instrText>
      </w:r>
      <w:r w:rsidR="008A090D">
        <w:rPr>
          <w:noProof/>
        </w:rPr>
      </w:r>
      <w:r w:rsidR="008A090D">
        <w:rPr>
          <w:noProof/>
        </w:rPr>
        <w:fldChar w:fldCharType="separate"/>
      </w:r>
      <w:r w:rsidR="00E5552A">
        <w:rPr>
          <w:noProof/>
        </w:rPr>
        <w:t>30</w:t>
      </w:r>
      <w:r w:rsidR="008A090D">
        <w:rPr>
          <w:noProof/>
        </w:rPr>
        <w:fldChar w:fldCharType="end"/>
      </w:r>
    </w:p>
    <w:p w14:paraId="75495703"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FF2A84">
        <w:rPr>
          <w:rFonts w:cs="Arial-ItalicMT"/>
          <w:b/>
          <w:iCs/>
          <w:noProof/>
        </w:rPr>
        <w:t>Tabulka č. 7 -</w:t>
      </w:r>
      <w:r w:rsidRPr="00FF2A84">
        <w:rPr>
          <w:rFonts w:cs="Arial-ItalicMT"/>
          <w:iCs/>
          <w:noProof/>
        </w:rPr>
        <w:t xml:space="preserve"> </w:t>
      </w:r>
      <w:r w:rsidRPr="00FF2A84">
        <w:rPr>
          <w:i/>
          <w:noProof/>
        </w:rPr>
        <w:t>Klíčové oblasti změn a cíle Národní RIS3 strategie</w:t>
      </w:r>
      <w:r>
        <w:rPr>
          <w:noProof/>
        </w:rPr>
        <w:tab/>
      </w:r>
      <w:r w:rsidR="008A090D">
        <w:rPr>
          <w:noProof/>
        </w:rPr>
        <w:fldChar w:fldCharType="begin"/>
      </w:r>
      <w:r>
        <w:rPr>
          <w:noProof/>
        </w:rPr>
        <w:instrText xml:space="preserve"> PAGEREF _Toc5626516 \h </w:instrText>
      </w:r>
      <w:r w:rsidR="008A090D">
        <w:rPr>
          <w:noProof/>
        </w:rPr>
      </w:r>
      <w:r w:rsidR="008A090D">
        <w:rPr>
          <w:noProof/>
        </w:rPr>
        <w:fldChar w:fldCharType="separate"/>
      </w:r>
      <w:r w:rsidR="00E5552A">
        <w:rPr>
          <w:noProof/>
        </w:rPr>
        <w:t>31</w:t>
      </w:r>
      <w:r w:rsidR="008A090D">
        <w:rPr>
          <w:noProof/>
        </w:rPr>
        <w:fldChar w:fldCharType="end"/>
      </w:r>
    </w:p>
    <w:p w14:paraId="199BFA84"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FF2A84">
        <w:rPr>
          <w:rFonts w:cs="Arial-ItalicMT"/>
          <w:b/>
          <w:iCs/>
          <w:noProof/>
        </w:rPr>
        <w:t>Tabulka č. 8 -</w:t>
      </w:r>
      <w:r w:rsidRPr="00FF2A84">
        <w:rPr>
          <w:rFonts w:cs="Arial-ItalicMT"/>
          <w:iCs/>
          <w:noProof/>
        </w:rPr>
        <w:t xml:space="preserve"> </w:t>
      </w:r>
      <w:r w:rsidRPr="00FF2A84">
        <w:rPr>
          <w:i/>
          <w:noProof/>
        </w:rPr>
        <w:t>Měření vize – výchozí a průběžné hodnoty</w:t>
      </w:r>
      <w:r>
        <w:rPr>
          <w:noProof/>
        </w:rPr>
        <w:tab/>
      </w:r>
      <w:r w:rsidR="008A090D">
        <w:rPr>
          <w:noProof/>
        </w:rPr>
        <w:fldChar w:fldCharType="begin"/>
      </w:r>
      <w:r>
        <w:rPr>
          <w:noProof/>
        </w:rPr>
        <w:instrText xml:space="preserve"> PAGEREF _Toc5626517 \h </w:instrText>
      </w:r>
      <w:r w:rsidR="008A090D">
        <w:rPr>
          <w:noProof/>
        </w:rPr>
      </w:r>
      <w:r w:rsidR="008A090D">
        <w:rPr>
          <w:noProof/>
        </w:rPr>
        <w:fldChar w:fldCharType="separate"/>
      </w:r>
      <w:r w:rsidR="00E5552A">
        <w:rPr>
          <w:noProof/>
        </w:rPr>
        <w:t>33</w:t>
      </w:r>
      <w:r w:rsidR="008A090D">
        <w:rPr>
          <w:noProof/>
        </w:rPr>
        <w:fldChar w:fldCharType="end"/>
      </w:r>
    </w:p>
    <w:p w14:paraId="0FE64723"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FF2A84">
        <w:rPr>
          <w:rFonts w:cs="Arial-ItalicMT"/>
          <w:b/>
          <w:iCs/>
          <w:noProof/>
        </w:rPr>
        <w:t>Tabulka č. 9 -</w:t>
      </w:r>
      <w:r w:rsidRPr="00FF2A84">
        <w:rPr>
          <w:rFonts w:cs="Arial-ItalicMT"/>
          <w:iCs/>
          <w:noProof/>
        </w:rPr>
        <w:t xml:space="preserve"> </w:t>
      </w:r>
      <w:r w:rsidRPr="00FF2A84">
        <w:rPr>
          <w:i/>
          <w:noProof/>
        </w:rPr>
        <w:t>Národní domény výzkumné specializace</w:t>
      </w:r>
      <w:r>
        <w:rPr>
          <w:noProof/>
        </w:rPr>
        <w:tab/>
      </w:r>
      <w:r w:rsidR="008A090D">
        <w:rPr>
          <w:noProof/>
        </w:rPr>
        <w:fldChar w:fldCharType="begin"/>
      </w:r>
      <w:r>
        <w:rPr>
          <w:noProof/>
        </w:rPr>
        <w:instrText xml:space="preserve"> PAGEREF _Toc5626518 \h </w:instrText>
      </w:r>
      <w:r w:rsidR="008A090D">
        <w:rPr>
          <w:noProof/>
        </w:rPr>
      </w:r>
      <w:r w:rsidR="008A090D">
        <w:rPr>
          <w:noProof/>
        </w:rPr>
        <w:fldChar w:fldCharType="separate"/>
      </w:r>
      <w:r w:rsidR="00E5552A">
        <w:rPr>
          <w:noProof/>
        </w:rPr>
        <w:t>35</w:t>
      </w:r>
      <w:r w:rsidR="008A090D">
        <w:rPr>
          <w:noProof/>
        </w:rPr>
        <w:fldChar w:fldCharType="end"/>
      </w:r>
    </w:p>
    <w:p w14:paraId="1043D180"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FF2A84">
        <w:rPr>
          <w:rFonts w:cs="Arial-ItalicMT"/>
          <w:b/>
          <w:iCs/>
          <w:noProof/>
        </w:rPr>
        <w:t>Tabulka č. 10 -</w:t>
      </w:r>
      <w:r w:rsidRPr="00FF2A84">
        <w:rPr>
          <w:rFonts w:cs="Arial-ItalicMT"/>
          <w:iCs/>
          <w:noProof/>
        </w:rPr>
        <w:t xml:space="preserve"> </w:t>
      </w:r>
      <w:r w:rsidRPr="00FF2A84">
        <w:rPr>
          <w:rFonts w:eastAsia="Times New Roman" w:cs="Calibri"/>
          <w:i/>
          <w:noProof/>
          <w:color w:val="000000"/>
          <w:spacing w:val="0"/>
          <w:lang w:eastAsia="cs-CZ"/>
        </w:rPr>
        <w:t>Plánovaná podpora Národní RIS3 strategie v operačních programech</w:t>
      </w:r>
      <w:r>
        <w:rPr>
          <w:noProof/>
        </w:rPr>
        <w:tab/>
      </w:r>
      <w:r w:rsidR="008A090D">
        <w:rPr>
          <w:noProof/>
        </w:rPr>
        <w:fldChar w:fldCharType="begin"/>
      </w:r>
      <w:r>
        <w:rPr>
          <w:noProof/>
        </w:rPr>
        <w:instrText xml:space="preserve"> PAGEREF _Toc5626519 \h </w:instrText>
      </w:r>
      <w:r w:rsidR="008A090D">
        <w:rPr>
          <w:noProof/>
        </w:rPr>
      </w:r>
      <w:r w:rsidR="008A090D">
        <w:rPr>
          <w:noProof/>
        </w:rPr>
        <w:fldChar w:fldCharType="separate"/>
      </w:r>
      <w:r w:rsidR="00E5552A">
        <w:rPr>
          <w:noProof/>
        </w:rPr>
        <w:t>46</w:t>
      </w:r>
      <w:r w:rsidR="008A090D">
        <w:rPr>
          <w:noProof/>
        </w:rPr>
        <w:fldChar w:fldCharType="end"/>
      </w:r>
    </w:p>
    <w:p w14:paraId="14C8CF6E"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FF2A84">
        <w:rPr>
          <w:rFonts w:cs="Arial-ItalicMT"/>
          <w:b/>
          <w:iCs/>
          <w:noProof/>
        </w:rPr>
        <w:t>Tabulka č. 11 –</w:t>
      </w:r>
      <w:r w:rsidRPr="00FF2A84">
        <w:rPr>
          <w:rFonts w:cs="Arial-ItalicMT"/>
          <w:iCs/>
          <w:noProof/>
        </w:rPr>
        <w:t xml:space="preserve"> </w:t>
      </w:r>
      <w:r w:rsidRPr="00FF2A84">
        <w:rPr>
          <w:rFonts w:eastAsia="Times New Roman" w:cs="Calibri"/>
          <w:i/>
          <w:noProof/>
          <w:color w:val="000000"/>
          <w:spacing w:val="0"/>
          <w:lang w:eastAsia="cs-CZ"/>
        </w:rPr>
        <w:t>Počet a průměrná velikost projektů v operačních programech</w:t>
      </w:r>
      <w:r>
        <w:rPr>
          <w:noProof/>
        </w:rPr>
        <w:tab/>
      </w:r>
      <w:r w:rsidR="008A090D">
        <w:rPr>
          <w:noProof/>
        </w:rPr>
        <w:fldChar w:fldCharType="begin"/>
      </w:r>
      <w:r>
        <w:rPr>
          <w:noProof/>
        </w:rPr>
        <w:instrText xml:space="preserve"> PAGEREF _Toc5626520 \h </w:instrText>
      </w:r>
      <w:r w:rsidR="008A090D">
        <w:rPr>
          <w:noProof/>
        </w:rPr>
      </w:r>
      <w:r w:rsidR="008A090D">
        <w:rPr>
          <w:noProof/>
        </w:rPr>
        <w:fldChar w:fldCharType="separate"/>
      </w:r>
      <w:r w:rsidR="00E5552A">
        <w:rPr>
          <w:noProof/>
        </w:rPr>
        <w:t>48</w:t>
      </w:r>
      <w:r w:rsidR="008A090D">
        <w:rPr>
          <w:noProof/>
        </w:rPr>
        <w:fldChar w:fldCharType="end"/>
      </w:r>
    </w:p>
    <w:p w14:paraId="76CA5DB7"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FF2A84">
        <w:rPr>
          <w:rFonts w:cs="Arial-ItalicMT"/>
          <w:b/>
          <w:iCs/>
          <w:noProof/>
        </w:rPr>
        <w:t>Tabulka č. 12 -</w:t>
      </w:r>
      <w:r w:rsidRPr="00FF2A84">
        <w:rPr>
          <w:rFonts w:cs="Arial-ItalicMT"/>
          <w:iCs/>
          <w:noProof/>
        </w:rPr>
        <w:t xml:space="preserve"> </w:t>
      </w:r>
      <w:r w:rsidRPr="00FF2A84">
        <w:rPr>
          <w:rFonts w:eastAsia="Times New Roman" w:cs="Calibri"/>
          <w:i/>
          <w:noProof/>
          <w:color w:val="000000"/>
          <w:spacing w:val="0"/>
          <w:lang w:eastAsia="cs-CZ"/>
        </w:rPr>
        <w:t>Plánovaná podpora Národní RIS3 strategie z národních programů podpory</w:t>
      </w:r>
      <w:r>
        <w:rPr>
          <w:noProof/>
        </w:rPr>
        <w:tab/>
      </w:r>
      <w:r w:rsidR="008A090D">
        <w:rPr>
          <w:noProof/>
        </w:rPr>
        <w:fldChar w:fldCharType="begin"/>
      </w:r>
      <w:r>
        <w:rPr>
          <w:noProof/>
        </w:rPr>
        <w:instrText xml:space="preserve"> PAGEREF _Toc5626521 \h </w:instrText>
      </w:r>
      <w:r w:rsidR="008A090D">
        <w:rPr>
          <w:noProof/>
        </w:rPr>
      </w:r>
      <w:r w:rsidR="008A090D">
        <w:rPr>
          <w:noProof/>
        </w:rPr>
        <w:fldChar w:fldCharType="separate"/>
      </w:r>
      <w:r w:rsidR="00E5552A">
        <w:rPr>
          <w:noProof/>
        </w:rPr>
        <w:t>50</w:t>
      </w:r>
      <w:r w:rsidR="008A090D">
        <w:rPr>
          <w:noProof/>
        </w:rPr>
        <w:fldChar w:fldCharType="end"/>
      </w:r>
    </w:p>
    <w:p w14:paraId="4C7A1C82"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FF2A84">
        <w:rPr>
          <w:rFonts w:cs="Arial-ItalicMT"/>
          <w:b/>
          <w:iCs/>
          <w:noProof/>
        </w:rPr>
        <w:t>Tabulka č. 13 –</w:t>
      </w:r>
      <w:r w:rsidRPr="00FF2A84">
        <w:rPr>
          <w:rFonts w:cs="Arial-ItalicMT"/>
          <w:iCs/>
          <w:noProof/>
        </w:rPr>
        <w:t xml:space="preserve"> </w:t>
      </w:r>
      <w:r w:rsidRPr="00FF2A84">
        <w:rPr>
          <w:rFonts w:eastAsia="Times New Roman" w:cs="Calibri"/>
          <w:i/>
          <w:noProof/>
          <w:color w:val="000000"/>
          <w:spacing w:val="0"/>
          <w:lang w:eastAsia="cs-CZ"/>
        </w:rPr>
        <w:t>Počet a průměrná velikost projektů v národních programech podpory</w:t>
      </w:r>
      <w:r>
        <w:rPr>
          <w:noProof/>
        </w:rPr>
        <w:tab/>
      </w:r>
      <w:r w:rsidR="008A090D">
        <w:rPr>
          <w:noProof/>
        </w:rPr>
        <w:fldChar w:fldCharType="begin"/>
      </w:r>
      <w:r>
        <w:rPr>
          <w:noProof/>
        </w:rPr>
        <w:instrText xml:space="preserve"> PAGEREF _Toc5626522 \h </w:instrText>
      </w:r>
      <w:r w:rsidR="008A090D">
        <w:rPr>
          <w:noProof/>
        </w:rPr>
      </w:r>
      <w:r w:rsidR="008A090D">
        <w:rPr>
          <w:noProof/>
        </w:rPr>
        <w:fldChar w:fldCharType="separate"/>
      </w:r>
      <w:r w:rsidR="00E5552A">
        <w:rPr>
          <w:noProof/>
        </w:rPr>
        <w:t>52</w:t>
      </w:r>
      <w:r w:rsidR="008A090D">
        <w:rPr>
          <w:noProof/>
        </w:rPr>
        <w:fldChar w:fldCharType="end"/>
      </w:r>
    </w:p>
    <w:p w14:paraId="03A477C7"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FF2A84">
        <w:rPr>
          <w:rFonts w:cs="Arial-ItalicMT"/>
          <w:b/>
          <w:iCs/>
          <w:noProof/>
        </w:rPr>
        <w:t>Tabulka č. 14 -</w:t>
      </w:r>
      <w:r w:rsidRPr="00FF2A84">
        <w:rPr>
          <w:rFonts w:cs="Arial-ItalicMT"/>
          <w:iCs/>
          <w:noProof/>
        </w:rPr>
        <w:t xml:space="preserve"> </w:t>
      </w:r>
      <w:r w:rsidRPr="00FF2A84">
        <w:rPr>
          <w:i/>
          <w:noProof/>
        </w:rPr>
        <w:t>Kontextové indikátory pro klíčové oblasti změn</w:t>
      </w:r>
      <w:r>
        <w:rPr>
          <w:noProof/>
        </w:rPr>
        <w:tab/>
      </w:r>
      <w:r w:rsidR="008A090D">
        <w:rPr>
          <w:noProof/>
        </w:rPr>
        <w:fldChar w:fldCharType="begin"/>
      </w:r>
      <w:r>
        <w:rPr>
          <w:noProof/>
        </w:rPr>
        <w:instrText xml:space="preserve"> PAGEREF _Toc5626523 \h </w:instrText>
      </w:r>
      <w:r w:rsidR="008A090D">
        <w:rPr>
          <w:noProof/>
        </w:rPr>
      </w:r>
      <w:r w:rsidR="008A090D">
        <w:rPr>
          <w:noProof/>
        </w:rPr>
        <w:fldChar w:fldCharType="separate"/>
      </w:r>
      <w:r w:rsidR="00E5552A">
        <w:rPr>
          <w:noProof/>
        </w:rPr>
        <w:t>54</w:t>
      </w:r>
      <w:r w:rsidR="008A090D">
        <w:rPr>
          <w:noProof/>
        </w:rPr>
        <w:fldChar w:fldCharType="end"/>
      </w:r>
    </w:p>
    <w:p w14:paraId="5793CAE2"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FF2A84">
        <w:rPr>
          <w:rFonts w:cs="Arial-ItalicMT"/>
          <w:b/>
          <w:iCs/>
          <w:noProof/>
        </w:rPr>
        <w:t>Tabulka č. 15 -</w:t>
      </w:r>
      <w:r w:rsidRPr="00FF2A84">
        <w:rPr>
          <w:rFonts w:cs="Arial-ItalicMT"/>
          <w:iCs/>
          <w:noProof/>
        </w:rPr>
        <w:t xml:space="preserve"> </w:t>
      </w:r>
      <w:r w:rsidRPr="00FF2A84">
        <w:rPr>
          <w:i/>
          <w:noProof/>
        </w:rPr>
        <w:t>Výsledkové indikátory pro strategické cíle</w:t>
      </w:r>
      <w:r>
        <w:rPr>
          <w:noProof/>
        </w:rPr>
        <w:tab/>
      </w:r>
      <w:r w:rsidR="008A090D">
        <w:rPr>
          <w:noProof/>
        </w:rPr>
        <w:fldChar w:fldCharType="begin"/>
      </w:r>
      <w:r>
        <w:rPr>
          <w:noProof/>
        </w:rPr>
        <w:instrText xml:space="preserve"> PAGEREF _Toc5626524 \h </w:instrText>
      </w:r>
      <w:r w:rsidR="008A090D">
        <w:rPr>
          <w:noProof/>
        </w:rPr>
      </w:r>
      <w:r w:rsidR="008A090D">
        <w:rPr>
          <w:noProof/>
        </w:rPr>
        <w:fldChar w:fldCharType="separate"/>
      </w:r>
      <w:r w:rsidR="00E5552A">
        <w:rPr>
          <w:noProof/>
        </w:rPr>
        <w:t>55</w:t>
      </w:r>
      <w:r w:rsidR="008A090D">
        <w:rPr>
          <w:noProof/>
        </w:rPr>
        <w:fldChar w:fldCharType="end"/>
      </w:r>
    </w:p>
    <w:p w14:paraId="5BDB25C7"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FF2A84">
        <w:rPr>
          <w:rFonts w:cs="Arial-ItalicMT"/>
          <w:b/>
          <w:iCs/>
          <w:noProof/>
        </w:rPr>
        <w:t>Tabulka č. 16 –</w:t>
      </w:r>
      <w:r w:rsidRPr="00FF2A84">
        <w:rPr>
          <w:rFonts w:cs="Arial-ItalicMT"/>
          <w:iCs/>
          <w:noProof/>
        </w:rPr>
        <w:t xml:space="preserve"> </w:t>
      </w:r>
      <w:r w:rsidRPr="00FF2A84">
        <w:rPr>
          <w:i/>
          <w:noProof/>
        </w:rPr>
        <w:t>Tvorba hrubé přidané hodnoty v nejvýkonnějších regionech ČR</w:t>
      </w:r>
      <w:r>
        <w:rPr>
          <w:noProof/>
        </w:rPr>
        <w:tab/>
      </w:r>
      <w:r w:rsidR="008A090D">
        <w:rPr>
          <w:noProof/>
        </w:rPr>
        <w:fldChar w:fldCharType="begin"/>
      </w:r>
      <w:r>
        <w:rPr>
          <w:noProof/>
        </w:rPr>
        <w:instrText xml:space="preserve"> PAGEREF _Toc5626525 \h </w:instrText>
      </w:r>
      <w:r w:rsidR="008A090D">
        <w:rPr>
          <w:noProof/>
        </w:rPr>
      </w:r>
      <w:r w:rsidR="008A090D">
        <w:rPr>
          <w:noProof/>
        </w:rPr>
        <w:fldChar w:fldCharType="separate"/>
      </w:r>
      <w:r w:rsidR="00E5552A">
        <w:rPr>
          <w:noProof/>
        </w:rPr>
        <w:t>68</w:t>
      </w:r>
      <w:r w:rsidR="008A090D">
        <w:rPr>
          <w:noProof/>
        </w:rPr>
        <w:fldChar w:fldCharType="end"/>
      </w:r>
    </w:p>
    <w:p w14:paraId="01452FCB"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FF2A84">
        <w:rPr>
          <w:rFonts w:cs="Arial-ItalicMT"/>
          <w:b/>
          <w:iCs/>
          <w:noProof/>
        </w:rPr>
        <w:t>Tabulka č. 17 –</w:t>
      </w:r>
      <w:r w:rsidRPr="00FF2A84">
        <w:rPr>
          <w:rFonts w:cs="Arial-ItalicMT"/>
          <w:iCs/>
          <w:noProof/>
        </w:rPr>
        <w:t xml:space="preserve"> </w:t>
      </w:r>
      <w:r w:rsidRPr="00FF2A84">
        <w:rPr>
          <w:i/>
          <w:noProof/>
        </w:rPr>
        <w:t>Tvorba hrubé přidané hodnoty nejvýkonnějších regionů ČR v aplikačních odvětvích NRIS3</w:t>
      </w:r>
      <w:r>
        <w:rPr>
          <w:noProof/>
        </w:rPr>
        <w:tab/>
      </w:r>
      <w:r w:rsidR="008A090D">
        <w:rPr>
          <w:noProof/>
        </w:rPr>
        <w:fldChar w:fldCharType="begin"/>
      </w:r>
      <w:r>
        <w:rPr>
          <w:noProof/>
        </w:rPr>
        <w:instrText xml:space="preserve"> PAGEREF _Toc5626526 \h </w:instrText>
      </w:r>
      <w:r w:rsidR="008A090D">
        <w:rPr>
          <w:noProof/>
        </w:rPr>
      </w:r>
      <w:r w:rsidR="008A090D">
        <w:rPr>
          <w:noProof/>
        </w:rPr>
        <w:fldChar w:fldCharType="separate"/>
      </w:r>
      <w:r w:rsidR="00E5552A">
        <w:rPr>
          <w:noProof/>
        </w:rPr>
        <w:t>69</w:t>
      </w:r>
      <w:r w:rsidR="008A090D">
        <w:rPr>
          <w:noProof/>
        </w:rPr>
        <w:fldChar w:fldCharType="end"/>
      </w:r>
    </w:p>
    <w:p w14:paraId="564732D2" w14:textId="77777777" w:rsidR="00DE451B" w:rsidRDefault="008A090D" w:rsidP="00D66402">
      <w:pPr>
        <w:spacing w:before="0" w:after="0" w:line="240" w:lineRule="auto"/>
        <w:jc w:val="left"/>
        <w:rPr>
          <w:rFonts w:asciiTheme="majorHAnsi" w:eastAsiaTheme="majorEastAsia" w:hAnsiTheme="majorHAnsi" w:cstheme="majorBidi"/>
          <w:b/>
          <w:bCs/>
          <w:color w:val="004B8D"/>
          <w:spacing w:val="0"/>
          <w:sz w:val="32"/>
          <w:szCs w:val="32"/>
          <w:lang w:bidi="ar-SA"/>
        </w:rPr>
      </w:pPr>
      <w:r>
        <w:fldChar w:fldCharType="end"/>
      </w:r>
      <w:r w:rsidR="00DE451B">
        <w:rPr>
          <w:rFonts w:asciiTheme="majorHAnsi" w:eastAsiaTheme="majorEastAsia" w:hAnsiTheme="majorHAnsi" w:cstheme="majorBidi"/>
          <w:color w:val="004B8D"/>
          <w:spacing w:val="0"/>
          <w:sz w:val="32"/>
          <w:szCs w:val="32"/>
          <w:lang w:bidi="ar-SA"/>
        </w:rPr>
        <w:br w:type="page"/>
      </w:r>
    </w:p>
    <w:p w14:paraId="04758559" w14:textId="77777777" w:rsidR="00944AA8" w:rsidRPr="008F05DE" w:rsidRDefault="00944AA8" w:rsidP="008F05DE">
      <w:pPr>
        <w:rPr>
          <w:b/>
          <w:color w:val="004B8D"/>
          <w:sz w:val="32"/>
          <w:szCs w:val="32"/>
          <w:lang w:bidi="ar-SA"/>
        </w:rPr>
      </w:pPr>
      <w:r w:rsidRPr="008F05DE">
        <w:rPr>
          <w:b/>
          <w:color w:val="004B8D"/>
          <w:sz w:val="32"/>
          <w:szCs w:val="32"/>
          <w:lang w:bidi="ar-SA"/>
        </w:rPr>
        <w:lastRenderedPageBreak/>
        <w:t>Seznam grafů</w:t>
      </w:r>
    </w:p>
    <w:p w14:paraId="2B896B38" w14:textId="77777777" w:rsidR="00E16011" w:rsidRDefault="008A090D">
      <w:pPr>
        <w:pStyle w:val="Seznamobrzk"/>
        <w:tabs>
          <w:tab w:val="right" w:leader="dot" w:pos="9062"/>
        </w:tabs>
        <w:rPr>
          <w:rFonts w:asciiTheme="minorHAnsi" w:eastAsiaTheme="minorEastAsia" w:hAnsiTheme="minorHAnsi" w:cstheme="minorBidi"/>
          <w:noProof/>
          <w:spacing w:val="0"/>
          <w:szCs w:val="22"/>
          <w:lang w:eastAsia="cs-CZ" w:bidi="ar-SA"/>
        </w:rPr>
      </w:pPr>
      <w:r>
        <w:rPr>
          <w:rFonts w:cs="Arial-ItalicMT"/>
          <w:i/>
          <w:iCs/>
          <w:szCs w:val="22"/>
        </w:rPr>
        <w:fldChar w:fldCharType="begin"/>
      </w:r>
      <w:r w:rsidR="0068338B">
        <w:rPr>
          <w:rFonts w:cs="Arial-ItalicMT"/>
          <w:i/>
          <w:iCs/>
          <w:szCs w:val="22"/>
        </w:rPr>
        <w:instrText xml:space="preserve"> TOC \c "Graf č. " </w:instrText>
      </w:r>
      <w:r>
        <w:rPr>
          <w:rFonts w:cs="Arial-ItalicMT"/>
          <w:i/>
          <w:iCs/>
          <w:szCs w:val="22"/>
        </w:rPr>
        <w:fldChar w:fldCharType="separate"/>
      </w:r>
      <w:r w:rsidR="00E16011" w:rsidRPr="00B532C9">
        <w:rPr>
          <w:b/>
          <w:noProof/>
        </w:rPr>
        <w:t xml:space="preserve">Graf č. 1 - </w:t>
      </w:r>
      <w:r w:rsidR="00E16011" w:rsidRPr="00B532C9">
        <w:rPr>
          <w:rFonts w:eastAsia="Times New Roman" w:cs="Calibri"/>
          <w:noProof/>
          <w:color w:val="000000"/>
          <w:spacing w:val="0"/>
          <w:lang w:eastAsia="cs-CZ"/>
        </w:rPr>
        <w:t>HDP výdajovou metodou</w:t>
      </w:r>
      <w:r w:rsidR="00E16011">
        <w:rPr>
          <w:noProof/>
        </w:rPr>
        <w:tab/>
      </w:r>
      <w:r>
        <w:rPr>
          <w:noProof/>
        </w:rPr>
        <w:fldChar w:fldCharType="begin"/>
      </w:r>
      <w:r w:rsidR="00E16011">
        <w:rPr>
          <w:noProof/>
        </w:rPr>
        <w:instrText xml:space="preserve"> PAGEREF _Toc5626484 \h </w:instrText>
      </w:r>
      <w:r>
        <w:rPr>
          <w:noProof/>
        </w:rPr>
      </w:r>
      <w:r>
        <w:rPr>
          <w:noProof/>
        </w:rPr>
        <w:fldChar w:fldCharType="separate"/>
      </w:r>
      <w:r w:rsidR="00E5552A">
        <w:rPr>
          <w:noProof/>
        </w:rPr>
        <w:t>25</w:t>
      </w:r>
      <w:r>
        <w:rPr>
          <w:noProof/>
        </w:rPr>
        <w:fldChar w:fldCharType="end"/>
      </w:r>
    </w:p>
    <w:p w14:paraId="51E30C8C"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t xml:space="preserve">Graf č. 2 - </w:t>
      </w:r>
      <w:r w:rsidRPr="00B532C9">
        <w:rPr>
          <w:rFonts w:eastAsia="Times New Roman" w:cs="Calibri"/>
          <w:noProof/>
          <w:color w:val="000000"/>
          <w:spacing w:val="0"/>
          <w:lang w:eastAsia="cs-CZ"/>
        </w:rPr>
        <w:t>HDP výrobní metodou</w:t>
      </w:r>
      <w:r>
        <w:rPr>
          <w:noProof/>
        </w:rPr>
        <w:tab/>
      </w:r>
      <w:r w:rsidR="008A090D">
        <w:rPr>
          <w:noProof/>
        </w:rPr>
        <w:fldChar w:fldCharType="begin"/>
      </w:r>
      <w:r>
        <w:rPr>
          <w:noProof/>
        </w:rPr>
        <w:instrText xml:space="preserve"> PAGEREF _Toc5626485 \h </w:instrText>
      </w:r>
      <w:r w:rsidR="008A090D">
        <w:rPr>
          <w:noProof/>
        </w:rPr>
      </w:r>
      <w:r w:rsidR="008A090D">
        <w:rPr>
          <w:noProof/>
        </w:rPr>
        <w:fldChar w:fldCharType="separate"/>
      </w:r>
      <w:r w:rsidR="00E5552A">
        <w:rPr>
          <w:noProof/>
        </w:rPr>
        <w:t>25</w:t>
      </w:r>
      <w:r w:rsidR="008A090D">
        <w:rPr>
          <w:noProof/>
        </w:rPr>
        <w:fldChar w:fldCharType="end"/>
      </w:r>
    </w:p>
    <w:p w14:paraId="0E654276"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t xml:space="preserve">Graf č. 3 - </w:t>
      </w:r>
      <w:r w:rsidRPr="00B532C9">
        <w:rPr>
          <w:rFonts w:eastAsia="Times New Roman" w:cs="Calibri"/>
          <w:noProof/>
          <w:color w:val="000000"/>
          <w:spacing w:val="0"/>
          <w:lang w:eastAsia="cs-CZ"/>
        </w:rPr>
        <w:t>Zdroje financování VaV (v mld. Kč) a intenzita (GERD/HDP)</w:t>
      </w:r>
      <w:r>
        <w:rPr>
          <w:noProof/>
        </w:rPr>
        <w:tab/>
      </w:r>
      <w:r w:rsidR="008A090D">
        <w:rPr>
          <w:noProof/>
        </w:rPr>
        <w:fldChar w:fldCharType="begin"/>
      </w:r>
      <w:r>
        <w:rPr>
          <w:noProof/>
        </w:rPr>
        <w:instrText xml:space="preserve"> PAGEREF _Toc5626486 \h </w:instrText>
      </w:r>
      <w:r w:rsidR="008A090D">
        <w:rPr>
          <w:noProof/>
        </w:rPr>
      </w:r>
      <w:r w:rsidR="008A090D">
        <w:rPr>
          <w:noProof/>
        </w:rPr>
        <w:fldChar w:fldCharType="separate"/>
      </w:r>
      <w:r w:rsidR="00E5552A">
        <w:rPr>
          <w:noProof/>
        </w:rPr>
        <w:t>27</w:t>
      </w:r>
      <w:r w:rsidR="008A090D">
        <w:rPr>
          <w:noProof/>
        </w:rPr>
        <w:fldChar w:fldCharType="end"/>
      </w:r>
    </w:p>
    <w:p w14:paraId="5DB3560C"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t xml:space="preserve">Graf č. 4 - </w:t>
      </w:r>
      <w:r w:rsidRPr="00B532C9">
        <w:rPr>
          <w:rFonts w:eastAsia="Times New Roman" w:cs="Calibri"/>
          <w:noProof/>
          <w:color w:val="000000"/>
          <w:spacing w:val="0"/>
          <w:lang w:eastAsia="cs-CZ"/>
        </w:rPr>
        <w:t>Specialisté v oblasti vědy a techniky v roce 2017</w:t>
      </w:r>
      <w:r>
        <w:rPr>
          <w:noProof/>
        </w:rPr>
        <w:tab/>
      </w:r>
      <w:r w:rsidR="008A090D">
        <w:rPr>
          <w:noProof/>
        </w:rPr>
        <w:fldChar w:fldCharType="begin"/>
      </w:r>
      <w:r>
        <w:rPr>
          <w:noProof/>
        </w:rPr>
        <w:instrText xml:space="preserve"> PAGEREF _Toc5626487 \h </w:instrText>
      </w:r>
      <w:r w:rsidR="008A090D">
        <w:rPr>
          <w:noProof/>
        </w:rPr>
      </w:r>
      <w:r w:rsidR="008A090D">
        <w:rPr>
          <w:noProof/>
        </w:rPr>
        <w:fldChar w:fldCharType="separate"/>
      </w:r>
      <w:r w:rsidR="00E5552A">
        <w:rPr>
          <w:noProof/>
        </w:rPr>
        <w:t>28</w:t>
      </w:r>
      <w:r w:rsidR="008A090D">
        <w:rPr>
          <w:noProof/>
        </w:rPr>
        <w:fldChar w:fldCharType="end"/>
      </w:r>
    </w:p>
    <w:p w14:paraId="43F8F881"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t xml:space="preserve">Graf č. 5 - </w:t>
      </w:r>
      <w:r w:rsidRPr="00B532C9">
        <w:rPr>
          <w:rFonts w:eastAsia="Times New Roman" w:cs="Calibri"/>
          <w:noProof/>
          <w:color w:val="000000"/>
          <w:spacing w:val="0"/>
          <w:lang w:eastAsia="cs-CZ"/>
        </w:rPr>
        <w:t>Vývoj počtu specialistů v oblasti vědy a techniky</w:t>
      </w:r>
      <w:r>
        <w:rPr>
          <w:noProof/>
        </w:rPr>
        <w:tab/>
      </w:r>
      <w:r w:rsidR="008A090D">
        <w:rPr>
          <w:noProof/>
        </w:rPr>
        <w:fldChar w:fldCharType="begin"/>
      </w:r>
      <w:r>
        <w:rPr>
          <w:noProof/>
        </w:rPr>
        <w:instrText xml:space="preserve"> PAGEREF _Toc5626488 \h </w:instrText>
      </w:r>
      <w:r w:rsidR="008A090D">
        <w:rPr>
          <w:noProof/>
        </w:rPr>
      </w:r>
      <w:r w:rsidR="008A090D">
        <w:rPr>
          <w:noProof/>
        </w:rPr>
        <w:fldChar w:fldCharType="separate"/>
      </w:r>
      <w:r w:rsidR="00E5552A">
        <w:rPr>
          <w:noProof/>
        </w:rPr>
        <w:t>28</w:t>
      </w:r>
      <w:r w:rsidR="008A090D">
        <w:rPr>
          <w:noProof/>
        </w:rPr>
        <w:fldChar w:fldCharType="end"/>
      </w:r>
    </w:p>
    <w:p w14:paraId="41624727"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t xml:space="preserve">Graf č. 6 - </w:t>
      </w:r>
      <w:r w:rsidRPr="00B532C9">
        <w:rPr>
          <w:rFonts w:eastAsia="Times New Roman" w:cs="Calibri"/>
          <w:noProof/>
          <w:color w:val="000000"/>
          <w:spacing w:val="0"/>
          <w:lang w:eastAsia="cs-CZ"/>
        </w:rPr>
        <w:t>Plánovaný podíl podpory Národní RIS3 strategie  z operačních programů</w:t>
      </w:r>
      <w:r>
        <w:rPr>
          <w:noProof/>
        </w:rPr>
        <w:tab/>
      </w:r>
      <w:r w:rsidR="008A090D">
        <w:rPr>
          <w:noProof/>
        </w:rPr>
        <w:fldChar w:fldCharType="begin"/>
      </w:r>
      <w:r>
        <w:rPr>
          <w:noProof/>
        </w:rPr>
        <w:instrText xml:space="preserve"> PAGEREF _Toc5626489 \h </w:instrText>
      </w:r>
      <w:r w:rsidR="008A090D">
        <w:rPr>
          <w:noProof/>
        </w:rPr>
      </w:r>
      <w:r w:rsidR="008A090D">
        <w:rPr>
          <w:noProof/>
        </w:rPr>
        <w:fldChar w:fldCharType="separate"/>
      </w:r>
      <w:r w:rsidR="00E5552A">
        <w:rPr>
          <w:noProof/>
        </w:rPr>
        <w:t>46</w:t>
      </w:r>
      <w:r w:rsidR="008A090D">
        <w:rPr>
          <w:noProof/>
        </w:rPr>
        <w:fldChar w:fldCharType="end"/>
      </w:r>
    </w:p>
    <w:p w14:paraId="72507849"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t xml:space="preserve">Graf č. 7 - </w:t>
      </w:r>
      <w:r w:rsidRPr="00B532C9">
        <w:rPr>
          <w:rFonts w:eastAsia="Times New Roman" w:cs="Calibri"/>
          <w:noProof/>
          <w:color w:val="000000"/>
          <w:spacing w:val="-4"/>
          <w:lang w:eastAsia="cs-CZ"/>
        </w:rPr>
        <w:t>Plnění finančního plánu NRIS3 strategie v jednotlivých operačních programech k 10/2018</w:t>
      </w:r>
      <w:r>
        <w:rPr>
          <w:noProof/>
        </w:rPr>
        <w:tab/>
      </w:r>
      <w:r w:rsidR="008A090D">
        <w:rPr>
          <w:noProof/>
        </w:rPr>
        <w:fldChar w:fldCharType="begin"/>
      </w:r>
      <w:r>
        <w:rPr>
          <w:noProof/>
        </w:rPr>
        <w:instrText xml:space="preserve"> PAGEREF _Toc5626490 \h </w:instrText>
      </w:r>
      <w:r w:rsidR="008A090D">
        <w:rPr>
          <w:noProof/>
        </w:rPr>
      </w:r>
      <w:r w:rsidR="008A090D">
        <w:rPr>
          <w:noProof/>
        </w:rPr>
        <w:fldChar w:fldCharType="separate"/>
      </w:r>
      <w:r w:rsidR="00E5552A">
        <w:rPr>
          <w:noProof/>
        </w:rPr>
        <w:t>47</w:t>
      </w:r>
      <w:r w:rsidR="008A090D">
        <w:rPr>
          <w:noProof/>
        </w:rPr>
        <w:fldChar w:fldCharType="end"/>
      </w:r>
    </w:p>
    <w:p w14:paraId="14236F8D"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t xml:space="preserve">Graf č. 8 – </w:t>
      </w:r>
      <w:r w:rsidRPr="00B532C9">
        <w:rPr>
          <w:rFonts w:eastAsia="Times New Roman" w:cs="Calibri"/>
          <w:noProof/>
          <w:color w:val="000000"/>
          <w:spacing w:val="0"/>
          <w:lang w:eastAsia="cs-CZ"/>
        </w:rPr>
        <w:t>Struktura financování Národní RIS3 strategie z operačních programů k 10/2018</w:t>
      </w:r>
      <w:r>
        <w:rPr>
          <w:noProof/>
        </w:rPr>
        <w:tab/>
      </w:r>
      <w:r w:rsidR="008A090D">
        <w:rPr>
          <w:noProof/>
        </w:rPr>
        <w:fldChar w:fldCharType="begin"/>
      </w:r>
      <w:r>
        <w:rPr>
          <w:noProof/>
        </w:rPr>
        <w:instrText xml:space="preserve"> PAGEREF _Toc5626491 \h </w:instrText>
      </w:r>
      <w:r w:rsidR="008A090D">
        <w:rPr>
          <w:noProof/>
        </w:rPr>
      </w:r>
      <w:r w:rsidR="008A090D">
        <w:rPr>
          <w:noProof/>
        </w:rPr>
        <w:fldChar w:fldCharType="separate"/>
      </w:r>
      <w:r w:rsidR="00E5552A">
        <w:rPr>
          <w:noProof/>
        </w:rPr>
        <w:t>48</w:t>
      </w:r>
      <w:r w:rsidR="008A090D">
        <w:rPr>
          <w:noProof/>
        </w:rPr>
        <w:fldChar w:fldCharType="end"/>
      </w:r>
    </w:p>
    <w:p w14:paraId="2E7B1E69"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t xml:space="preserve">Graf č. 9 – </w:t>
      </w:r>
      <w:r w:rsidRPr="00B532C9">
        <w:rPr>
          <w:rFonts w:eastAsia="Times New Roman" w:cs="Calibri"/>
          <w:noProof/>
          <w:color w:val="000000"/>
          <w:spacing w:val="0"/>
          <w:lang w:eastAsia="cs-CZ"/>
        </w:rPr>
        <w:t>Financování klíčových oblastí změn v operačních programech k 10/2018</w:t>
      </w:r>
      <w:r>
        <w:rPr>
          <w:noProof/>
        </w:rPr>
        <w:tab/>
      </w:r>
      <w:r w:rsidR="008A090D">
        <w:rPr>
          <w:noProof/>
        </w:rPr>
        <w:fldChar w:fldCharType="begin"/>
      </w:r>
      <w:r>
        <w:rPr>
          <w:noProof/>
        </w:rPr>
        <w:instrText xml:space="preserve"> PAGEREF _Toc5626492 \h </w:instrText>
      </w:r>
      <w:r w:rsidR="008A090D">
        <w:rPr>
          <w:noProof/>
        </w:rPr>
      </w:r>
      <w:r w:rsidR="008A090D">
        <w:rPr>
          <w:noProof/>
        </w:rPr>
        <w:fldChar w:fldCharType="separate"/>
      </w:r>
      <w:r w:rsidR="00E5552A">
        <w:rPr>
          <w:noProof/>
        </w:rPr>
        <w:t>49</w:t>
      </w:r>
      <w:r w:rsidR="008A090D">
        <w:rPr>
          <w:noProof/>
        </w:rPr>
        <w:fldChar w:fldCharType="end"/>
      </w:r>
    </w:p>
    <w:p w14:paraId="444A5FBC"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t xml:space="preserve">Graf č. 10 - </w:t>
      </w:r>
      <w:r w:rsidRPr="00B532C9">
        <w:rPr>
          <w:rFonts w:eastAsia="Times New Roman" w:cs="Calibri"/>
          <w:noProof/>
          <w:color w:val="000000"/>
          <w:spacing w:val="0"/>
          <w:lang w:eastAsia="cs-CZ"/>
        </w:rPr>
        <w:t>Plánovaný podíl podpory Národní RIS3 strategie  v národních programech podpory</w:t>
      </w:r>
      <w:r>
        <w:rPr>
          <w:noProof/>
        </w:rPr>
        <w:tab/>
      </w:r>
      <w:r w:rsidR="008A090D">
        <w:rPr>
          <w:noProof/>
        </w:rPr>
        <w:fldChar w:fldCharType="begin"/>
      </w:r>
      <w:r>
        <w:rPr>
          <w:noProof/>
        </w:rPr>
        <w:instrText xml:space="preserve"> PAGEREF _Toc5626493 \h </w:instrText>
      </w:r>
      <w:r w:rsidR="008A090D">
        <w:rPr>
          <w:noProof/>
        </w:rPr>
      </w:r>
      <w:r w:rsidR="008A090D">
        <w:rPr>
          <w:noProof/>
        </w:rPr>
        <w:fldChar w:fldCharType="separate"/>
      </w:r>
      <w:r w:rsidR="00E5552A">
        <w:rPr>
          <w:noProof/>
        </w:rPr>
        <w:t>50</w:t>
      </w:r>
      <w:r w:rsidR="008A090D">
        <w:rPr>
          <w:noProof/>
        </w:rPr>
        <w:fldChar w:fldCharType="end"/>
      </w:r>
    </w:p>
    <w:p w14:paraId="744794F9"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t xml:space="preserve">Graf č. 11 - </w:t>
      </w:r>
      <w:r w:rsidRPr="00B532C9">
        <w:rPr>
          <w:rFonts w:eastAsia="Times New Roman" w:cs="Calibri"/>
          <w:noProof/>
          <w:color w:val="000000"/>
          <w:spacing w:val="-4"/>
          <w:lang w:eastAsia="cs-CZ"/>
        </w:rPr>
        <w:t>Plnění finančního plánu NRIS3 strategie v národních programech podpory k 10/2018</w:t>
      </w:r>
      <w:r>
        <w:rPr>
          <w:noProof/>
        </w:rPr>
        <w:tab/>
      </w:r>
      <w:r w:rsidR="008A090D">
        <w:rPr>
          <w:noProof/>
        </w:rPr>
        <w:fldChar w:fldCharType="begin"/>
      </w:r>
      <w:r>
        <w:rPr>
          <w:noProof/>
        </w:rPr>
        <w:instrText xml:space="preserve"> PAGEREF _Toc5626494 \h </w:instrText>
      </w:r>
      <w:r w:rsidR="008A090D">
        <w:rPr>
          <w:noProof/>
        </w:rPr>
      </w:r>
      <w:r w:rsidR="008A090D">
        <w:rPr>
          <w:noProof/>
        </w:rPr>
        <w:fldChar w:fldCharType="separate"/>
      </w:r>
      <w:r w:rsidR="00E5552A">
        <w:rPr>
          <w:noProof/>
        </w:rPr>
        <w:t>51</w:t>
      </w:r>
      <w:r w:rsidR="008A090D">
        <w:rPr>
          <w:noProof/>
        </w:rPr>
        <w:fldChar w:fldCharType="end"/>
      </w:r>
    </w:p>
    <w:p w14:paraId="792B00F3"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t xml:space="preserve">Graf č. 12 – </w:t>
      </w:r>
      <w:r w:rsidRPr="00B532C9">
        <w:rPr>
          <w:rFonts w:eastAsia="Times New Roman" w:cs="Calibri"/>
          <w:noProof/>
          <w:color w:val="000000"/>
          <w:spacing w:val="0"/>
          <w:lang w:eastAsia="cs-CZ"/>
        </w:rPr>
        <w:t>Struktura financování Národní RIS3 strategie z národních programů podpory k 10/2018</w:t>
      </w:r>
      <w:r>
        <w:rPr>
          <w:noProof/>
        </w:rPr>
        <w:tab/>
      </w:r>
      <w:r w:rsidR="008A090D">
        <w:rPr>
          <w:noProof/>
        </w:rPr>
        <w:fldChar w:fldCharType="begin"/>
      </w:r>
      <w:r>
        <w:rPr>
          <w:noProof/>
        </w:rPr>
        <w:instrText xml:space="preserve"> PAGEREF _Toc5626495 \h </w:instrText>
      </w:r>
      <w:r w:rsidR="008A090D">
        <w:rPr>
          <w:noProof/>
        </w:rPr>
      </w:r>
      <w:r w:rsidR="008A090D">
        <w:rPr>
          <w:noProof/>
        </w:rPr>
        <w:fldChar w:fldCharType="separate"/>
      </w:r>
      <w:r w:rsidR="00E5552A">
        <w:rPr>
          <w:noProof/>
        </w:rPr>
        <w:t>51</w:t>
      </w:r>
      <w:r w:rsidR="008A090D">
        <w:rPr>
          <w:noProof/>
        </w:rPr>
        <w:fldChar w:fldCharType="end"/>
      </w:r>
    </w:p>
    <w:p w14:paraId="01D06B15"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t xml:space="preserve">Graf č. 13 – </w:t>
      </w:r>
      <w:r w:rsidRPr="00B532C9">
        <w:rPr>
          <w:rFonts w:eastAsia="Times New Roman" w:cs="Calibri"/>
          <w:noProof/>
          <w:color w:val="000000"/>
          <w:spacing w:val="0"/>
          <w:lang w:eastAsia="cs-CZ"/>
        </w:rPr>
        <w:t>Financování klíčových oblastí změn v národních programech podpory k 10/2018</w:t>
      </w:r>
      <w:r>
        <w:rPr>
          <w:noProof/>
        </w:rPr>
        <w:tab/>
      </w:r>
      <w:r w:rsidR="008A090D">
        <w:rPr>
          <w:noProof/>
        </w:rPr>
        <w:fldChar w:fldCharType="begin"/>
      </w:r>
      <w:r>
        <w:rPr>
          <w:noProof/>
        </w:rPr>
        <w:instrText xml:space="preserve"> PAGEREF _Toc5626496 \h </w:instrText>
      </w:r>
      <w:r w:rsidR="008A090D">
        <w:rPr>
          <w:noProof/>
        </w:rPr>
      </w:r>
      <w:r w:rsidR="008A090D">
        <w:rPr>
          <w:noProof/>
        </w:rPr>
        <w:fldChar w:fldCharType="separate"/>
      </w:r>
      <w:r w:rsidR="00E5552A">
        <w:rPr>
          <w:noProof/>
        </w:rPr>
        <w:t>52</w:t>
      </w:r>
      <w:r w:rsidR="008A090D">
        <w:rPr>
          <w:noProof/>
        </w:rPr>
        <w:fldChar w:fldCharType="end"/>
      </w:r>
    </w:p>
    <w:p w14:paraId="33A8C166"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t xml:space="preserve">Graf č. 14 – </w:t>
      </w:r>
      <w:r w:rsidRPr="00B532C9">
        <w:rPr>
          <w:rFonts w:eastAsia="Times New Roman" w:cs="Calibri"/>
          <w:noProof/>
          <w:color w:val="000000"/>
          <w:spacing w:val="0"/>
          <w:lang w:eastAsia="cs-CZ"/>
        </w:rPr>
        <w:t>Indikátory specifických cílů klíčové oblasti změn A. Vyšší inovační výkonnost firem</w:t>
      </w:r>
      <w:r>
        <w:rPr>
          <w:noProof/>
        </w:rPr>
        <w:tab/>
      </w:r>
      <w:r w:rsidR="008A090D">
        <w:rPr>
          <w:noProof/>
        </w:rPr>
        <w:fldChar w:fldCharType="begin"/>
      </w:r>
      <w:r>
        <w:rPr>
          <w:noProof/>
        </w:rPr>
        <w:instrText xml:space="preserve"> PAGEREF _Toc5626497 \h </w:instrText>
      </w:r>
      <w:r w:rsidR="008A090D">
        <w:rPr>
          <w:noProof/>
        </w:rPr>
      </w:r>
      <w:r w:rsidR="008A090D">
        <w:rPr>
          <w:noProof/>
        </w:rPr>
        <w:fldChar w:fldCharType="separate"/>
      </w:r>
      <w:r w:rsidR="00E5552A">
        <w:rPr>
          <w:noProof/>
        </w:rPr>
        <w:t>56</w:t>
      </w:r>
      <w:r w:rsidR="008A090D">
        <w:rPr>
          <w:noProof/>
        </w:rPr>
        <w:fldChar w:fldCharType="end"/>
      </w:r>
    </w:p>
    <w:p w14:paraId="6C102572"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t xml:space="preserve">Graf č. 15 – </w:t>
      </w:r>
      <w:r w:rsidRPr="00B532C9">
        <w:rPr>
          <w:rFonts w:eastAsia="Times New Roman" w:cs="Calibri"/>
          <w:noProof/>
          <w:color w:val="000000"/>
          <w:spacing w:val="0"/>
          <w:lang w:eastAsia="cs-CZ"/>
        </w:rPr>
        <w:t>Indikátory specifických cílů klíčové oblasti změn B. Zvýšení kvality výzkumu</w:t>
      </w:r>
      <w:r>
        <w:rPr>
          <w:noProof/>
        </w:rPr>
        <w:tab/>
      </w:r>
      <w:r w:rsidR="008A090D">
        <w:rPr>
          <w:noProof/>
        </w:rPr>
        <w:fldChar w:fldCharType="begin"/>
      </w:r>
      <w:r>
        <w:rPr>
          <w:noProof/>
        </w:rPr>
        <w:instrText xml:space="preserve"> PAGEREF _Toc5626498 \h </w:instrText>
      </w:r>
      <w:r w:rsidR="008A090D">
        <w:rPr>
          <w:noProof/>
        </w:rPr>
      </w:r>
      <w:r w:rsidR="008A090D">
        <w:rPr>
          <w:noProof/>
        </w:rPr>
        <w:fldChar w:fldCharType="separate"/>
      </w:r>
      <w:r w:rsidR="00E5552A">
        <w:rPr>
          <w:noProof/>
        </w:rPr>
        <w:t>56</w:t>
      </w:r>
      <w:r w:rsidR="008A090D">
        <w:rPr>
          <w:noProof/>
        </w:rPr>
        <w:fldChar w:fldCharType="end"/>
      </w:r>
    </w:p>
    <w:p w14:paraId="42796A85"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t xml:space="preserve">Graf č. 16 – </w:t>
      </w:r>
      <w:r w:rsidRPr="00B532C9">
        <w:rPr>
          <w:rFonts w:eastAsia="Times New Roman" w:cs="Calibri"/>
          <w:noProof/>
          <w:color w:val="000000"/>
          <w:spacing w:val="0"/>
          <w:lang w:eastAsia="cs-CZ"/>
        </w:rPr>
        <w:t>Indikátory specifických cílů klíčové oblasti změn C. Zvýšení ekonomických přínosů veřejného výzkumu</w:t>
      </w:r>
      <w:r>
        <w:rPr>
          <w:noProof/>
        </w:rPr>
        <w:tab/>
      </w:r>
      <w:r w:rsidR="008A090D">
        <w:rPr>
          <w:noProof/>
        </w:rPr>
        <w:fldChar w:fldCharType="begin"/>
      </w:r>
      <w:r>
        <w:rPr>
          <w:noProof/>
        </w:rPr>
        <w:instrText xml:space="preserve"> PAGEREF _Toc5626499 \h </w:instrText>
      </w:r>
      <w:r w:rsidR="008A090D">
        <w:rPr>
          <w:noProof/>
        </w:rPr>
      </w:r>
      <w:r w:rsidR="008A090D">
        <w:rPr>
          <w:noProof/>
        </w:rPr>
        <w:fldChar w:fldCharType="separate"/>
      </w:r>
      <w:r w:rsidR="00E5552A">
        <w:rPr>
          <w:noProof/>
        </w:rPr>
        <w:t>57</w:t>
      </w:r>
      <w:r w:rsidR="008A090D">
        <w:rPr>
          <w:noProof/>
        </w:rPr>
        <w:fldChar w:fldCharType="end"/>
      </w:r>
    </w:p>
    <w:p w14:paraId="46F83D91"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t xml:space="preserve">Graf č. 17 – </w:t>
      </w:r>
      <w:r w:rsidRPr="00B532C9">
        <w:rPr>
          <w:rFonts w:eastAsia="Times New Roman" w:cs="Calibri"/>
          <w:noProof/>
          <w:color w:val="000000"/>
          <w:spacing w:val="0"/>
          <w:lang w:eastAsia="cs-CZ"/>
        </w:rPr>
        <w:t>Indikátory specifických cílů klíčové oblasti změn D. Lepší nabídka lidí v počtu i kvalitě pro inovační podnikání, výzkum a vývoj</w:t>
      </w:r>
      <w:r>
        <w:rPr>
          <w:noProof/>
        </w:rPr>
        <w:tab/>
      </w:r>
      <w:r w:rsidR="008A090D">
        <w:rPr>
          <w:noProof/>
        </w:rPr>
        <w:fldChar w:fldCharType="begin"/>
      </w:r>
      <w:r>
        <w:rPr>
          <w:noProof/>
        </w:rPr>
        <w:instrText xml:space="preserve"> PAGEREF _Toc5626500 \h </w:instrText>
      </w:r>
      <w:r w:rsidR="008A090D">
        <w:rPr>
          <w:noProof/>
        </w:rPr>
      </w:r>
      <w:r w:rsidR="008A090D">
        <w:rPr>
          <w:noProof/>
        </w:rPr>
        <w:fldChar w:fldCharType="separate"/>
      </w:r>
      <w:r w:rsidR="00E5552A">
        <w:rPr>
          <w:noProof/>
        </w:rPr>
        <w:t>57</w:t>
      </w:r>
      <w:r w:rsidR="008A090D">
        <w:rPr>
          <w:noProof/>
        </w:rPr>
        <w:fldChar w:fldCharType="end"/>
      </w:r>
    </w:p>
    <w:p w14:paraId="3C5EC7EE"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t xml:space="preserve">Graf č. 18 – </w:t>
      </w:r>
      <w:r w:rsidRPr="00B532C9">
        <w:rPr>
          <w:rFonts w:eastAsia="Times New Roman" w:cs="Calibri"/>
          <w:noProof/>
          <w:color w:val="000000"/>
          <w:spacing w:val="0"/>
          <w:lang w:eastAsia="cs-CZ"/>
        </w:rPr>
        <w:t>Indikátory specifických cílů klíčové oblasti změny E. Rozvoj eGovernmentu a eBusinessu pro zvýšení konkurenceschopnosti</w:t>
      </w:r>
      <w:r>
        <w:rPr>
          <w:noProof/>
        </w:rPr>
        <w:tab/>
      </w:r>
      <w:r w:rsidR="008A090D">
        <w:rPr>
          <w:noProof/>
        </w:rPr>
        <w:fldChar w:fldCharType="begin"/>
      </w:r>
      <w:r>
        <w:rPr>
          <w:noProof/>
        </w:rPr>
        <w:instrText xml:space="preserve"> PAGEREF _Toc5626501 \h </w:instrText>
      </w:r>
      <w:r w:rsidR="008A090D">
        <w:rPr>
          <w:noProof/>
        </w:rPr>
      </w:r>
      <w:r w:rsidR="008A090D">
        <w:rPr>
          <w:noProof/>
        </w:rPr>
        <w:fldChar w:fldCharType="separate"/>
      </w:r>
      <w:r w:rsidR="00E5552A">
        <w:rPr>
          <w:noProof/>
        </w:rPr>
        <w:t>58</w:t>
      </w:r>
      <w:r w:rsidR="008A090D">
        <w:rPr>
          <w:noProof/>
        </w:rPr>
        <w:fldChar w:fldCharType="end"/>
      </w:r>
    </w:p>
    <w:p w14:paraId="1B28D0A7"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t xml:space="preserve">Graf č. 19 – </w:t>
      </w:r>
      <w:r w:rsidRPr="00B532C9">
        <w:rPr>
          <w:rFonts w:eastAsia="Times New Roman" w:cs="Calibri"/>
          <w:noProof/>
          <w:color w:val="000000"/>
          <w:spacing w:val="0"/>
          <w:lang w:eastAsia="cs-CZ"/>
        </w:rPr>
        <w:t>Indikátory specifických cílů klíčové oblasti změny F. Posílení a lepší využití sociálního kapitálu a kreativity při řešení komplexních společenských výzev</w:t>
      </w:r>
      <w:r>
        <w:rPr>
          <w:noProof/>
        </w:rPr>
        <w:tab/>
      </w:r>
      <w:r w:rsidR="008A090D">
        <w:rPr>
          <w:noProof/>
        </w:rPr>
        <w:fldChar w:fldCharType="begin"/>
      </w:r>
      <w:r>
        <w:rPr>
          <w:noProof/>
        </w:rPr>
        <w:instrText xml:space="preserve"> PAGEREF _Toc5626502 \h </w:instrText>
      </w:r>
      <w:r w:rsidR="008A090D">
        <w:rPr>
          <w:noProof/>
        </w:rPr>
      </w:r>
      <w:r w:rsidR="008A090D">
        <w:rPr>
          <w:noProof/>
        </w:rPr>
        <w:fldChar w:fldCharType="separate"/>
      </w:r>
      <w:r w:rsidR="00E5552A">
        <w:rPr>
          <w:noProof/>
        </w:rPr>
        <w:t>58</w:t>
      </w:r>
      <w:r w:rsidR="008A090D">
        <w:rPr>
          <w:noProof/>
        </w:rPr>
        <w:fldChar w:fldCharType="end"/>
      </w:r>
    </w:p>
    <w:p w14:paraId="07D94C52"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t xml:space="preserve">Graf č. 20 – </w:t>
      </w:r>
      <w:r w:rsidRPr="00B532C9">
        <w:rPr>
          <w:rFonts w:eastAsia="Times New Roman" w:cs="Calibri"/>
          <w:noProof/>
          <w:color w:val="000000"/>
          <w:spacing w:val="0"/>
          <w:lang w:eastAsia="cs-CZ"/>
        </w:rPr>
        <w:t>Indikátory specifických cílů v programu Centra excelence</w:t>
      </w:r>
      <w:r>
        <w:rPr>
          <w:noProof/>
        </w:rPr>
        <w:tab/>
      </w:r>
      <w:r w:rsidR="008A090D">
        <w:rPr>
          <w:noProof/>
        </w:rPr>
        <w:fldChar w:fldCharType="begin"/>
      </w:r>
      <w:r>
        <w:rPr>
          <w:noProof/>
        </w:rPr>
        <w:instrText xml:space="preserve"> PAGEREF _Toc5626503 \h </w:instrText>
      </w:r>
      <w:r w:rsidR="008A090D">
        <w:rPr>
          <w:noProof/>
        </w:rPr>
      </w:r>
      <w:r w:rsidR="008A090D">
        <w:rPr>
          <w:noProof/>
        </w:rPr>
        <w:fldChar w:fldCharType="separate"/>
      </w:r>
      <w:r w:rsidR="00E5552A">
        <w:rPr>
          <w:noProof/>
        </w:rPr>
        <w:t>59</w:t>
      </w:r>
      <w:r w:rsidR="008A090D">
        <w:rPr>
          <w:noProof/>
        </w:rPr>
        <w:fldChar w:fldCharType="end"/>
      </w:r>
    </w:p>
    <w:p w14:paraId="36519B5D"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t xml:space="preserve">Graf č. 21 – </w:t>
      </w:r>
      <w:r w:rsidRPr="00B532C9">
        <w:rPr>
          <w:rFonts w:eastAsia="Times New Roman" w:cs="Calibri"/>
          <w:noProof/>
          <w:color w:val="000000"/>
          <w:spacing w:val="0"/>
          <w:lang w:eastAsia="cs-CZ"/>
        </w:rPr>
        <w:t>Indikátory specifických cílů v programu Epsilon</w:t>
      </w:r>
      <w:r>
        <w:rPr>
          <w:noProof/>
        </w:rPr>
        <w:tab/>
      </w:r>
      <w:r w:rsidR="008A090D">
        <w:rPr>
          <w:noProof/>
        </w:rPr>
        <w:fldChar w:fldCharType="begin"/>
      </w:r>
      <w:r>
        <w:rPr>
          <w:noProof/>
        </w:rPr>
        <w:instrText xml:space="preserve"> PAGEREF _Toc5626504 \h </w:instrText>
      </w:r>
      <w:r w:rsidR="008A090D">
        <w:rPr>
          <w:noProof/>
        </w:rPr>
      </w:r>
      <w:r w:rsidR="008A090D">
        <w:rPr>
          <w:noProof/>
        </w:rPr>
        <w:fldChar w:fldCharType="separate"/>
      </w:r>
      <w:r w:rsidR="00E5552A">
        <w:rPr>
          <w:noProof/>
        </w:rPr>
        <w:t>60</w:t>
      </w:r>
      <w:r w:rsidR="008A090D">
        <w:rPr>
          <w:noProof/>
        </w:rPr>
        <w:fldChar w:fldCharType="end"/>
      </w:r>
    </w:p>
    <w:p w14:paraId="73C213C0"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t xml:space="preserve">Graf č. 22 – </w:t>
      </w:r>
      <w:r w:rsidRPr="00B532C9">
        <w:rPr>
          <w:rFonts w:eastAsia="Times New Roman" w:cs="Calibri"/>
          <w:noProof/>
          <w:color w:val="000000"/>
          <w:spacing w:val="0"/>
          <w:lang w:eastAsia="cs-CZ"/>
        </w:rPr>
        <w:t>Indikátory specifických cílů v programu Gama</w:t>
      </w:r>
      <w:r>
        <w:rPr>
          <w:noProof/>
        </w:rPr>
        <w:tab/>
      </w:r>
      <w:r w:rsidR="008A090D">
        <w:rPr>
          <w:noProof/>
        </w:rPr>
        <w:fldChar w:fldCharType="begin"/>
      </w:r>
      <w:r>
        <w:rPr>
          <w:noProof/>
        </w:rPr>
        <w:instrText xml:space="preserve"> PAGEREF _Toc5626505 \h </w:instrText>
      </w:r>
      <w:r w:rsidR="008A090D">
        <w:rPr>
          <w:noProof/>
        </w:rPr>
      </w:r>
      <w:r w:rsidR="008A090D">
        <w:rPr>
          <w:noProof/>
        </w:rPr>
        <w:fldChar w:fldCharType="separate"/>
      </w:r>
      <w:r w:rsidR="00E5552A">
        <w:rPr>
          <w:noProof/>
        </w:rPr>
        <w:t>61</w:t>
      </w:r>
      <w:r w:rsidR="008A090D">
        <w:rPr>
          <w:noProof/>
        </w:rPr>
        <w:fldChar w:fldCharType="end"/>
      </w:r>
    </w:p>
    <w:p w14:paraId="777CAC33"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lastRenderedPageBreak/>
        <w:t xml:space="preserve">Graf č. 23 – </w:t>
      </w:r>
      <w:r w:rsidRPr="00B532C9">
        <w:rPr>
          <w:rFonts w:eastAsia="Times New Roman" w:cs="Calibri"/>
          <w:noProof/>
          <w:color w:val="000000"/>
          <w:spacing w:val="0"/>
          <w:lang w:eastAsia="cs-CZ"/>
        </w:rPr>
        <w:t>Indikátory specifických cílů v programu TRIO</w:t>
      </w:r>
      <w:r>
        <w:rPr>
          <w:noProof/>
        </w:rPr>
        <w:tab/>
      </w:r>
      <w:r w:rsidR="008A090D">
        <w:rPr>
          <w:noProof/>
        </w:rPr>
        <w:fldChar w:fldCharType="begin"/>
      </w:r>
      <w:r>
        <w:rPr>
          <w:noProof/>
        </w:rPr>
        <w:instrText xml:space="preserve"> PAGEREF _Toc5626506 \h </w:instrText>
      </w:r>
      <w:r w:rsidR="008A090D">
        <w:rPr>
          <w:noProof/>
        </w:rPr>
      </w:r>
      <w:r w:rsidR="008A090D">
        <w:rPr>
          <w:noProof/>
        </w:rPr>
        <w:fldChar w:fldCharType="separate"/>
      </w:r>
      <w:r w:rsidR="00E5552A">
        <w:rPr>
          <w:noProof/>
        </w:rPr>
        <w:t>61</w:t>
      </w:r>
      <w:r w:rsidR="008A090D">
        <w:rPr>
          <w:noProof/>
        </w:rPr>
        <w:fldChar w:fldCharType="end"/>
      </w:r>
    </w:p>
    <w:p w14:paraId="04E71FAF"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t xml:space="preserve">Graf č. 24 – </w:t>
      </w:r>
      <w:r>
        <w:rPr>
          <w:noProof/>
        </w:rPr>
        <w:t>Celkové započitatelné výdaje programů NRIS3 v krajích ČR</w:t>
      </w:r>
      <w:r>
        <w:rPr>
          <w:noProof/>
        </w:rPr>
        <w:tab/>
      </w:r>
      <w:r w:rsidR="008A090D">
        <w:rPr>
          <w:noProof/>
        </w:rPr>
        <w:fldChar w:fldCharType="begin"/>
      </w:r>
      <w:r>
        <w:rPr>
          <w:noProof/>
        </w:rPr>
        <w:instrText xml:space="preserve"> PAGEREF _Toc5626507 \h </w:instrText>
      </w:r>
      <w:r w:rsidR="008A090D">
        <w:rPr>
          <w:noProof/>
        </w:rPr>
      </w:r>
      <w:r w:rsidR="008A090D">
        <w:rPr>
          <w:noProof/>
        </w:rPr>
        <w:fldChar w:fldCharType="separate"/>
      </w:r>
      <w:r w:rsidR="00E5552A">
        <w:rPr>
          <w:noProof/>
        </w:rPr>
        <w:t>68</w:t>
      </w:r>
      <w:r w:rsidR="008A090D">
        <w:rPr>
          <w:noProof/>
        </w:rPr>
        <w:fldChar w:fldCharType="end"/>
      </w:r>
    </w:p>
    <w:p w14:paraId="31B7397E"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t xml:space="preserve">Graf č. 25 – </w:t>
      </w:r>
      <w:r>
        <w:rPr>
          <w:noProof/>
        </w:rPr>
        <w:t>Relace HPH a CZV v regionech ČR</w:t>
      </w:r>
      <w:r>
        <w:rPr>
          <w:noProof/>
        </w:rPr>
        <w:tab/>
      </w:r>
      <w:r w:rsidR="008A090D">
        <w:rPr>
          <w:noProof/>
        </w:rPr>
        <w:fldChar w:fldCharType="begin"/>
      </w:r>
      <w:r>
        <w:rPr>
          <w:noProof/>
        </w:rPr>
        <w:instrText xml:space="preserve"> PAGEREF _Toc5626508 \h </w:instrText>
      </w:r>
      <w:r w:rsidR="008A090D">
        <w:rPr>
          <w:noProof/>
        </w:rPr>
      </w:r>
      <w:r w:rsidR="008A090D">
        <w:rPr>
          <w:noProof/>
        </w:rPr>
        <w:fldChar w:fldCharType="separate"/>
      </w:r>
      <w:r w:rsidR="00E5552A">
        <w:rPr>
          <w:noProof/>
        </w:rPr>
        <w:t>69</w:t>
      </w:r>
      <w:r w:rsidR="008A090D">
        <w:rPr>
          <w:noProof/>
        </w:rPr>
        <w:fldChar w:fldCharType="end"/>
      </w:r>
    </w:p>
    <w:p w14:paraId="5D256419" w14:textId="77777777" w:rsidR="00E16011" w:rsidRDefault="00E16011">
      <w:pPr>
        <w:pStyle w:val="Seznamobrzk"/>
        <w:tabs>
          <w:tab w:val="right" w:leader="dot" w:pos="9062"/>
        </w:tabs>
        <w:rPr>
          <w:rFonts w:asciiTheme="minorHAnsi" w:eastAsiaTheme="minorEastAsia" w:hAnsiTheme="minorHAnsi" w:cstheme="minorBidi"/>
          <w:noProof/>
          <w:spacing w:val="0"/>
          <w:szCs w:val="22"/>
          <w:lang w:eastAsia="cs-CZ" w:bidi="ar-SA"/>
        </w:rPr>
      </w:pPr>
      <w:r w:rsidRPr="00B532C9">
        <w:rPr>
          <w:b/>
          <w:noProof/>
        </w:rPr>
        <w:t xml:space="preserve">Graf č. 26 – </w:t>
      </w:r>
      <w:r>
        <w:rPr>
          <w:noProof/>
        </w:rPr>
        <w:t>Vnímání EDP procesu členy NIP</w:t>
      </w:r>
      <w:r>
        <w:rPr>
          <w:noProof/>
        </w:rPr>
        <w:tab/>
      </w:r>
      <w:r w:rsidR="008A090D">
        <w:rPr>
          <w:noProof/>
        </w:rPr>
        <w:fldChar w:fldCharType="begin"/>
      </w:r>
      <w:r>
        <w:rPr>
          <w:noProof/>
        </w:rPr>
        <w:instrText xml:space="preserve"> PAGEREF _Toc5626509 \h </w:instrText>
      </w:r>
      <w:r w:rsidR="008A090D">
        <w:rPr>
          <w:noProof/>
        </w:rPr>
      </w:r>
      <w:r w:rsidR="008A090D">
        <w:rPr>
          <w:noProof/>
        </w:rPr>
        <w:fldChar w:fldCharType="separate"/>
      </w:r>
      <w:r w:rsidR="00E5552A">
        <w:rPr>
          <w:noProof/>
        </w:rPr>
        <w:t>79</w:t>
      </w:r>
      <w:r w:rsidR="008A090D">
        <w:rPr>
          <w:noProof/>
        </w:rPr>
        <w:fldChar w:fldCharType="end"/>
      </w:r>
    </w:p>
    <w:p w14:paraId="7E7DFE4D" w14:textId="77777777" w:rsidR="008025DF" w:rsidRDefault="008A090D" w:rsidP="0068338B">
      <w:pPr>
        <w:spacing w:before="0" w:after="0" w:line="240" w:lineRule="auto"/>
        <w:jc w:val="left"/>
        <w:rPr>
          <w:rFonts w:cs="Arial-ItalicMT"/>
          <w:i/>
          <w:iCs/>
          <w:szCs w:val="22"/>
        </w:rPr>
      </w:pPr>
      <w:r>
        <w:rPr>
          <w:rFonts w:cs="Arial-ItalicMT"/>
          <w:i/>
          <w:iCs/>
          <w:szCs w:val="22"/>
        </w:rPr>
        <w:fldChar w:fldCharType="end"/>
      </w:r>
    </w:p>
    <w:p w14:paraId="4291CD67" w14:textId="77777777" w:rsidR="006B5A6F" w:rsidRDefault="006B5A6F" w:rsidP="0068338B">
      <w:pPr>
        <w:spacing w:before="0" w:after="0" w:line="240" w:lineRule="auto"/>
        <w:jc w:val="left"/>
        <w:rPr>
          <w:rFonts w:cs="Arial-ItalicMT"/>
          <w:i/>
          <w:iCs/>
          <w:szCs w:val="22"/>
        </w:rPr>
      </w:pPr>
    </w:p>
    <w:p w14:paraId="6E81C4F4" w14:textId="77777777" w:rsidR="006B5A6F" w:rsidRDefault="006B5A6F" w:rsidP="0068338B">
      <w:pPr>
        <w:spacing w:before="0" w:after="0" w:line="240" w:lineRule="auto"/>
        <w:jc w:val="left"/>
        <w:rPr>
          <w:rFonts w:cs="Arial-ItalicMT"/>
          <w:i/>
          <w:iCs/>
          <w:szCs w:val="22"/>
        </w:rPr>
      </w:pPr>
    </w:p>
    <w:p w14:paraId="036DAAFF" w14:textId="77777777" w:rsidR="006B5A6F" w:rsidRDefault="006B5A6F" w:rsidP="0068338B">
      <w:pPr>
        <w:spacing w:before="0" w:after="0" w:line="240" w:lineRule="auto"/>
        <w:jc w:val="left"/>
        <w:rPr>
          <w:rFonts w:cs="Arial-ItalicMT"/>
          <w:i/>
          <w:iCs/>
          <w:szCs w:val="22"/>
        </w:rPr>
      </w:pPr>
    </w:p>
    <w:p w14:paraId="2145B0E9" w14:textId="77777777" w:rsidR="006B5A6F" w:rsidRDefault="006B5A6F" w:rsidP="0068338B">
      <w:pPr>
        <w:spacing w:before="0" w:after="0" w:line="240" w:lineRule="auto"/>
        <w:jc w:val="left"/>
        <w:rPr>
          <w:rFonts w:cs="Arial-ItalicMT"/>
          <w:i/>
          <w:iCs/>
          <w:szCs w:val="22"/>
        </w:rPr>
      </w:pPr>
    </w:p>
    <w:p w14:paraId="09A09DEF" w14:textId="77777777" w:rsidR="006B5A6F" w:rsidRDefault="006B5A6F" w:rsidP="0068338B">
      <w:pPr>
        <w:spacing w:before="0" w:after="0" w:line="240" w:lineRule="auto"/>
        <w:jc w:val="left"/>
        <w:rPr>
          <w:rFonts w:cs="Arial-ItalicMT"/>
          <w:i/>
          <w:iCs/>
          <w:szCs w:val="22"/>
        </w:rPr>
      </w:pPr>
    </w:p>
    <w:p w14:paraId="71D791A5" w14:textId="77777777" w:rsidR="006B5A6F" w:rsidRDefault="006B5A6F" w:rsidP="0068338B">
      <w:pPr>
        <w:spacing w:before="0" w:after="0" w:line="240" w:lineRule="auto"/>
        <w:jc w:val="left"/>
        <w:rPr>
          <w:rFonts w:cs="Arial-ItalicMT"/>
          <w:i/>
          <w:iCs/>
          <w:szCs w:val="22"/>
        </w:rPr>
      </w:pPr>
    </w:p>
    <w:p w14:paraId="75FB4D24" w14:textId="77777777" w:rsidR="006B5A6F" w:rsidRDefault="006B5A6F" w:rsidP="0068338B">
      <w:pPr>
        <w:spacing w:before="0" w:after="0" w:line="240" w:lineRule="auto"/>
        <w:jc w:val="left"/>
        <w:rPr>
          <w:rFonts w:asciiTheme="majorHAnsi" w:eastAsiaTheme="majorEastAsia" w:hAnsiTheme="majorHAnsi" w:cstheme="majorBidi"/>
          <w:b/>
          <w:bCs/>
          <w:color w:val="004B8D"/>
          <w:spacing w:val="0"/>
          <w:sz w:val="32"/>
          <w:szCs w:val="32"/>
          <w:lang w:bidi="ar-SA"/>
        </w:rPr>
      </w:pPr>
    </w:p>
    <w:p w14:paraId="44CB54FD" w14:textId="77777777" w:rsidR="00944AA8" w:rsidRPr="008F05DE" w:rsidRDefault="00944AA8" w:rsidP="008F05DE">
      <w:pPr>
        <w:rPr>
          <w:b/>
          <w:color w:val="004B8D"/>
          <w:sz w:val="32"/>
          <w:szCs w:val="32"/>
          <w:lang w:bidi="ar-SA"/>
        </w:rPr>
      </w:pPr>
      <w:r w:rsidRPr="008F05DE">
        <w:rPr>
          <w:b/>
          <w:color w:val="004B8D"/>
          <w:sz w:val="32"/>
          <w:szCs w:val="32"/>
          <w:lang w:bidi="ar-SA"/>
        </w:rPr>
        <w:t>Seznam příloh</w:t>
      </w:r>
    </w:p>
    <w:p w14:paraId="478851F0" w14:textId="77777777" w:rsidR="00007A64" w:rsidRDefault="00007A64" w:rsidP="00007A64">
      <w:pPr>
        <w:rPr>
          <w:lang w:bidi="ar-SA"/>
        </w:rPr>
      </w:pPr>
      <w:r w:rsidRPr="00962F4E">
        <w:rPr>
          <w:b/>
          <w:lang w:bidi="ar-SA"/>
        </w:rPr>
        <w:t>Příloha č. 1</w:t>
      </w:r>
      <w:r>
        <w:rPr>
          <w:lang w:bidi="ar-SA"/>
        </w:rPr>
        <w:t xml:space="preserve"> – Vyhodnocení dotazníkového šetření s příjemci podpory </w:t>
      </w:r>
    </w:p>
    <w:p w14:paraId="53BC50D5" w14:textId="77777777" w:rsidR="00007A64" w:rsidRDefault="00007A64" w:rsidP="00140906">
      <w:pPr>
        <w:pStyle w:val="Odstavecseseznamem"/>
        <w:numPr>
          <w:ilvl w:val="0"/>
          <w:numId w:val="32"/>
        </w:numPr>
        <w:rPr>
          <w:lang w:bidi="ar-SA"/>
        </w:rPr>
      </w:pPr>
      <w:r>
        <w:rPr>
          <w:lang w:bidi="ar-SA"/>
        </w:rPr>
        <w:t>z operačních programů (DOT 1a)</w:t>
      </w:r>
    </w:p>
    <w:p w14:paraId="7A75E3C0" w14:textId="77777777" w:rsidR="00007A64" w:rsidRDefault="00007A64" w:rsidP="00140906">
      <w:pPr>
        <w:pStyle w:val="Odstavecseseznamem"/>
        <w:numPr>
          <w:ilvl w:val="0"/>
          <w:numId w:val="32"/>
        </w:numPr>
        <w:rPr>
          <w:lang w:bidi="ar-SA"/>
        </w:rPr>
      </w:pPr>
      <w:r>
        <w:rPr>
          <w:lang w:bidi="ar-SA"/>
        </w:rPr>
        <w:t>z národních programů podpory (DOT 1b)</w:t>
      </w:r>
    </w:p>
    <w:p w14:paraId="17AF3DEE" w14:textId="77777777" w:rsidR="00007A64" w:rsidRDefault="00007A64" w:rsidP="00007A64">
      <w:pPr>
        <w:rPr>
          <w:lang w:bidi="ar-SA"/>
        </w:rPr>
      </w:pPr>
      <w:r w:rsidRPr="00962F4E">
        <w:rPr>
          <w:b/>
          <w:lang w:bidi="ar-SA"/>
        </w:rPr>
        <w:t>Příloha č. 2</w:t>
      </w:r>
      <w:r>
        <w:rPr>
          <w:lang w:bidi="ar-SA"/>
        </w:rPr>
        <w:t xml:space="preserve"> – Vyhodnocení dotazníkového šetření s hodnotiteli projektů (DOT 2)</w:t>
      </w:r>
    </w:p>
    <w:p w14:paraId="38E78CA2" w14:textId="77777777" w:rsidR="00007A64" w:rsidRDefault="00007A64" w:rsidP="00007A64">
      <w:pPr>
        <w:rPr>
          <w:lang w:bidi="ar-SA"/>
        </w:rPr>
      </w:pPr>
      <w:r w:rsidRPr="00962F4E">
        <w:rPr>
          <w:b/>
          <w:lang w:bidi="ar-SA"/>
        </w:rPr>
        <w:t>Příloha č. 3</w:t>
      </w:r>
      <w:r>
        <w:rPr>
          <w:lang w:bidi="ar-SA"/>
        </w:rPr>
        <w:t xml:space="preserve"> – Vyhodnocení dotazníkového šetření s členy NIP (DOT 3)</w:t>
      </w:r>
    </w:p>
    <w:p w14:paraId="260AED08" w14:textId="77777777" w:rsidR="00007A64" w:rsidRDefault="00007A64" w:rsidP="00007A64">
      <w:pPr>
        <w:rPr>
          <w:lang w:bidi="ar-SA"/>
        </w:rPr>
      </w:pPr>
      <w:r w:rsidRPr="00962F4E">
        <w:rPr>
          <w:b/>
          <w:lang w:bidi="ar-SA"/>
        </w:rPr>
        <w:t>Příloha č. 4</w:t>
      </w:r>
      <w:r>
        <w:rPr>
          <w:lang w:bidi="ar-SA"/>
        </w:rPr>
        <w:t xml:space="preserve"> – Vyhodnocení dotazníkového šetření s členy KIP/KRI (DOT 4)</w:t>
      </w:r>
    </w:p>
    <w:p w14:paraId="0C341F01" w14:textId="77777777" w:rsidR="00007A64" w:rsidRDefault="00007A64" w:rsidP="00007A64">
      <w:pPr>
        <w:rPr>
          <w:lang w:bidi="ar-SA"/>
        </w:rPr>
      </w:pPr>
      <w:r w:rsidRPr="00962F4E">
        <w:rPr>
          <w:b/>
          <w:lang w:bidi="ar-SA"/>
        </w:rPr>
        <w:t>Příloha č. 5</w:t>
      </w:r>
      <w:r>
        <w:rPr>
          <w:lang w:bidi="ar-SA"/>
        </w:rPr>
        <w:t xml:space="preserve"> – Vyhodnocení dotazníkového šetření v podpůrných funkcích implementace (DOT 5)</w:t>
      </w:r>
    </w:p>
    <w:p w14:paraId="46962DB3" w14:textId="77777777" w:rsidR="00007A64" w:rsidRDefault="00007A64" w:rsidP="00007A64">
      <w:pPr>
        <w:rPr>
          <w:lang w:bidi="ar-SA"/>
        </w:rPr>
      </w:pPr>
      <w:r w:rsidRPr="00962F4E">
        <w:rPr>
          <w:b/>
          <w:lang w:bidi="ar-SA"/>
        </w:rPr>
        <w:t>Příloha č. 6</w:t>
      </w:r>
      <w:r>
        <w:rPr>
          <w:lang w:bidi="ar-SA"/>
        </w:rPr>
        <w:t xml:space="preserve"> – </w:t>
      </w:r>
      <w:r w:rsidR="00D35A66">
        <w:rPr>
          <w:lang w:bidi="ar-SA"/>
        </w:rPr>
        <w:t>Alokace finančních prostředků</w:t>
      </w:r>
      <w:r w:rsidR="00962F4E">
        <w:rPr>
          <w:lang w:bidi="ar-SA"/>
        </w:rPr>
        <w:t xml:space="preserve"> na klíčové oblasti změn</w:t>
      </w:r>
    </w:p>
    <w:p w14:paraId="0A63F8AF" w14:textId="77777777" w:rsidR="00007A64" w:rsidRDefault="00007A64" w:rsidP="00007A64">
      <w:pPr>
        <w:rPr>
          <w:lang w:bidi="ar-SA"/>
        </w:rPr>
      </w:pPr>
      <w:r w:rsidRPr="00962F4E">
        <w:rPr>
          <w:b/>
          <w:lang w:bidi="ar-SA"/>
        </w:rPr>
        <w:t>Příloha č. 7</w:t>
      </w:r>
      <w:r>
        <w:rPr>
          <w:lang w:bidi="ar-SA"/>
        </w:rPr>
        <w:t xml:space="preserve"> – Krajské přílohy</w:t>
      </w:r>
    </w:p>
    <w:p w14:paraId="3847FE15" w14:textId="77777777" w:rsidR="00007A64" w:rsidRDefault="00007A64" w:rsidP="00007A64">
      <w:pPr>
        <w:rPr>
          <w:lang w:bidi="ar-SA"/>
        </w:rPr>
      </w:pPr>
    </w:p>
    <w:p w14:paraId="3CEB416C" w14:textId="77777777" w:rsidR="00007A64" w:rsidRDefault="00007A64">
      <w:pPr>
        <w:spacing w:before="0" w:after="0" w:line="240" w:lineRule="auto"/>
        <w:jc w:val="left"/>
        <w:rPr>
          <w:rFonts w:asciiTheme="majorHAnsi" w:eastAsiaTheme="majorEastAsia" w:hAnsiTheme="majorHAnsi" w:cstheme="majorBidi"/>
          <w:b/>
          <w:bCs/>
          <w:color w:val="004B8D"/>
          <w:spacing w:val="0"/>
          <w:sz w:val="32"/>
          <w:szCs w:val="32"/>
          <w:lang w:bidi="ar-SA"/>
        </w:rPr>
      </w:pPr>
      <w:r>
        <w:rPr>
          <w:rFonts w:asciiTheme="majorHAnsi" w:eastAsiaTheme="majorEastAsia" w:hAnsiTheme="majorHAnsi" w:cstheme="majorBidi"/>
          <w:color w:val="004B8D"/>
          <w:spacing w:val="0"/>
          <w:sz w:val="32"/>
          <w:szCs w:val="32"/>
          <w:lang w:bidi="ar-SA"/>
        </w:rPr>
        <w:br w:type="page"/>
      </w:r>
    </w:p>
    <w:p w14:paraId="2839A540" w14:textId="77777777" w:rsidR="00944AA8" w:rsidRPr="008F05DE" w:rsidRDefault="00944AA8" w:rsidP="008F05DE">
      <w:pPr>
        <w:rPr>
          <w:b/>
          <w:color w:val="004B8D"/>
          <w:sz w:val="32"/>
          <w:szCs w:val="32"/>
          <w:lang w:bidi="ar-SA"/>
        </w:rPr>
      </w:pPr>
      <w:r w:rsidRPr="008F05DE">
        <w:rPr>
          <w:b/>
          <w:color w:val="004B8D"/>
          <w:sz w:val="32"/>
          <w:szCs w:val="32"/>
          <w:lang w:bidi="ar-SA"/>
        </w:rPr>
        <w:lastRenderedPageBreak/>
        <w:t>Seznam použitých zkratek</w:t>
      </w:r>
    </w:p>
    <w:p w14:paraId="468559FF" w14:textId="77777777" w:rsidR="006321E7" w:rsidRDefault="006321E7" w:rsidP="006321E7">
      <w:pPr>
        <w:contextualSpacing/>
        <w:rPr>
          <w:rFonts w:cs="Arial"/>
        </w:rPr>
      </w:pPr>
      <w:r>
        <w:rPr>
          <w:rFonts w:cs="Arial"/>
        </w:rPr>
        <w:t>AO</w:t>
      </w:r>
      <w:r>
        <w:rPr>
          <w:rFonts w:cs="Arial"/>
        </w:rPr>
        <w:tab/>
      </w:r>
      <w:r>
        <w:rPr>
          <w:rFonts w:cs="Arial"/>
        </w:rPr>
        <w:tab/>
        <w:t>Aplikační odvětví</w:t>
      </w:r>
    </w:p>
    <w:p w14:paraId="04DA6C00" w14:textId="77777777" w:rsidR="006321E7" w:rsidRDefault="006321E7" w:rsidP="006321E7">
      <w:pPr>
        <w:contextualSpacing/>
        <w:rPr>
          <w:rFonts w:cs="Arial"/>
        </w:rPr>
      </w:pPr>
      <w:r w:rsidRPr="00DD646A">
        <w:rPr>
          <w:rFonts w:cs="Arial"/>
        </w:rPr>
        <w:t>AV ČR</w:t>
      </w:r>
      <w:r w:rsidRPr="00DD646A">
        <w:rPr>
          <w:rFonts w:cs="Arial"/>
        </w:rPr>
        <w:tab/>
      </w:r>
      <w:r w:rsidRPr="00DD646A">
        <w:rPr>
          <w:rFonts w:cs="Arial"/>
        </w:rPr>
        <w:tab/>
        <w:t>Akademie věd ČR</w:t>
      </w:r>
    </w:p>
    <w:p w14:paraId="4A6DDFBE" w14:textId="77777777" w:rsidR="006321E7" w:rsidRDefault="006321E7" w:rsidP="006321E7">
      <w:pPr>
        <w:contextualSpacing/>
        <w:rPr>
          <w:rFonts w:cs="Arial"/>
        </w:rPr>
      </w:pPr>
      <w:r>
        <w:rPr>
          <w:rFonts w:cs="Arial"/>
        </w:rPr>
        <w:t>CZV</w:t>
      </w:r>
      <w:r>
        <w:rPr>
          <w:rFonts w:cs="Arial"/>
        </w:rPr>
        <w:tab/>
      </w:r>
      <w:r>
        <w:rPr>
          <w:rFonts w:cs="Arial"/>
        </w:rPr>
        <w:tab/>
        <w:t>Celkové započitatelné výdaje</w:t>
      </w:r>
    </w:p>
    <w:p w14:paraId="742D4826" w14:textId="77777777" w:rsidR="006321E7" w:rsidRDefault="006321E7" w:rsidP="006321E7">
      <w:pPr>
        <w:contextualSpacing/>
        <w:rPr>
          <w:rFonts w:cs="Arial"/>
        </w:rPr>
      </w:pPr>
      <w:r>
        <w:rPr>
          <w:rFonts w:cs="Arial"/>
        </w:rPr>
        <w:t>ČR                      Česká republika</w:t>
      </w:r>
    </w:p>
    <w:p w14:paraId="0835C8A1" w14:textId="77777777" w:rsidR="006321E7" w:rsidRDefault="006321E7" w:rsidP="006321E7">
      <w:pPr>
        <w:contextualSpacing/>
        <w:rPr>
          <w:rFonts w:cs="Arial"/>
        </w:rPr>
      </w:pPr>
      <w:r>
        <w:rPr>
          <w:rFonts w:cs="Arial"/>
        </w:rPr>
        <w:t>CZ NACE            Klasifikace ekonomických činností</w:t>
      </w:r>
    </w:p>
    <w:p w14:paraId="125E6E7B" w14:textId="77777777" w:rsidR="006321E7" w:rsidRPr="00DD646A" w:rsidRDefault="006321E7" w:rsidP="006321E7">
      <w:pPr>
        <w:contextualSpacing/>
        <w:rPr>
          <w:rFonts w:cs="Arial"/>
        </w:rPr>
      </w:pPr>
      <w:r w:rsidRPr="00DD646A">
        <w:rPr>
          <w:rFonts w:cs="Arial"/>
        </w:rPr>
        <w:t>ČSÚ</w:t>
      </w:r>
      <w:r w:rsidRPr="00DD646A">
        <w:rPr>
          <w:rFonts w:cs="Arial"/>
        </w:rPr>
        <w:tab/>
      </w:r>
      <w:r w:rsidRPr="00DD646A">
        <w:rPr>
          <w:rFonts w:cs="Arial"/>
        </w:rPr>
        <w:tab/>
        <w:t>Český statistický úřad</w:t>
      </w:r>
    </w:p>
    <w:p w14:paraId="4BC11BAE" w14:textId="77777777" w:rsidR="006321E7" w:rsidRDefault="006321E7" w:rsidP="006321E7">
      <w:pPr>
        <w:contextualSpacing/>
        <w:rPr>
          <w:rFonts w:cs="Arial"/>
        </w:rPr>
      </w:pPr>
      <w:r>
        <w:rPr>
          <w:rFonts w:cs="Arial"/>
        </w:rPr>
        <w:t>DOT</w:t>
      </w:r>
      <w:r>
        <w:rPr>
          <w:rFonts w:cs="Arial"/>
        </w:rPr>
        <w:tab/>
      </w:r>
      <w:r>
        <w:rPr>
          <w:rFonts w:cs="Arial"/>
        </w:rPr>
        <w:tab/>
        <w:t>Dotazníkové šetření</w:t>
      </w:r>
    </w:p>
    <w:p w14:paraId="4A4FC87D" w14:textId="77777777" w:rsidR="006321E7" w:rsidRPr="00DD646A" w:rsidRDefault="006321E7" w:rsidP="006321E7">
      <w:pPr>
        <w:contextualSpacing/>
        <w:rPr>
          <w:rFonts w:cs="Arial"/>
        </w:rPr>
      </w:pPr>
      <w:r w:rsidRPr="00DD646A">
        <w:rPr>
          <w:rFonts w:cs="Arial"/>
        </w:rPr>
        <w:t>EDF</w:t>
      </w:r>
      <w:r w:rsidRPr="00DD646A">
        <w:rPr>
          <w:rFonts w:cs="Arial"/>
        </w:rPr>
        <w:tab/>
      </w:r>
      <w:r w:rsidRPr="00DD646A">
        <w:rPr>
          <w:rFonts w:cs="Arial"/>
        </w:rPr>
        <w:tab/>
        <w:t>Ease of doing business</w:t>
      </w:r>
    </w:p>
    <w:p w14:paraId="71CB3AEC" w14:textId="77777777" w:rsidR="006321E7" w:rsidRDefault="006321E7" w:rsidP="006321E7">
      <w:pPr>
        <w:contextualSpacing/>
        <w:rPr>
          <w:rFonts w:cs="Arial"/>
        </w:rPr>
      </w:pPr>
      <w:r>
        <w:rPr>
          <w:rFonts w:cs="Arial"/>
        </w:rPr>
        <w:t>EDP</w:t>
      </w:r>
      <w:r>
        <w:rPr>
          <w:rFonts w:cs="Arial"/>
        </w:rPr>
        <w:tab/>
      </w:r>
      <w:r>
        <w:rPr>
          <w:rFonts w:cs="Arial"/>
        </w:rPr>
        <w:tab/>
        <w:t>Entrepreneurial discovery process – proces podnikatelského objevování</w:t>
      </w:r>
    </w:p>
    <w:p w14:paraId="1CA075EF" w14:textId="77777777" w:rsidR="006321E7" w:rsidRPr="00DD646A" w:rsidRDefault="006321E7" w:rsidP="006321E7">
      <w:pPr>
        <w:contextualSpacing/>
        <w:rPr>
          <w:rFonts w:cs="Arial"/>
        </w:rPr>
      </w:pPr>
      <w:r w:rsidRPr="00DD646A">
        <w:rPr>
          <w:rFonts w:cs="Arial"/>
        </w:rPr>
        <w:t>EK</w:t>
      </w:r>
      <w:r w:rsidRPr="00DD646A">
        <w:rPr>
          <w:rFonts w:cs="Arial"/>
        </w:rPr>
        <w:tab/>
      </w:r>
      <w:r w:rsidRPr="00DD646A">
        <w:rPr>
          <w:rFonts w:cs="Arial"/>
        </w:rPr>
        <w:tab/>
        <w:t>Evropská komise</w:t>
      </w:r>
    </w:p>
    <w:p w14:paraId="52D91196" w14:textId="77777777" w:rsidR="006321E7" w:rsidRPr="00DD646A" w:rsidRDefault="006321E7" w:rsidP="006321E7">
      <w:pPr>
        <w:contextualSpacing/>
        <w:rPr>
          <w:rFonts w:cs="Arial"/>
        </w:rPr>
      </w:pPr>
      <w:r w:rsidRPr="00DD646A">
        <w:rPr>
          <w:rFonts w:cs="Arial"/>
        </w:rPr>
        <w:t>ERA</w:t>
      </w:r>
      <w:r w:rsidRPr="00DD646A">
        <w:rPr>
          <w:rFonts w:cs="Arial"/>
        </w:rPr>
        <w:tab/>
      </w:r>
      <w:r w:rsidRPr="00DD646A">
        <w:rPr>
          <w:rFonts w:cs="Arial"/>
        </w:rPr>
        <w:tab/>
        <w:t>European Research Area (Evropský výzkumný prostor)</w:t>
      </w:r>
    </w:p>
    <w:p w14:paraId="6C84976F" w14:textId="77777777" w:rsidR="006321E7" w:rsidRPr="00DD646A" w:rsidRDefault="006321E7" w:rsidP="006321E7">
      <w:pPr>
        <w:contextualSpacing/>
        <w:rPr>
          <w:rFonts w:cs="Arial"/>
        </w:rPr>
      </w:pPr>
      <w:r w:rsidRPr="00DD646A">
        <w:rPr>
          <w:rFonts w:cs="Arial"/>
        </w:rPr>
        <w:t>ERDF</w:t>
      </w:r>
      <w:r w:rsidRPr="00DD646A">
        <w:rPr>
          <w:rFonts w:cs="Arial"/>
        </w:rPr>
        <w:tab/>
      </w:r>
      <w:r w:rsidRPr="00DD646A">
        <w:rPr>
          <w:rFonts w:cs="Arial"/>
        </w:rPr>
        <w:tab/>
        <w:t>Evropský fond pro regionální rozvoj (European Regional Development Fund)</w:t>
      </w:r>
    </w:p>
    <w:p w14:paraId="35B26567" w14:textId="77777777" w:rsidR="006321E7" w:rsidRPr="00DD646A" w:rsidRDefault="006321E7" w:rsidP="006321E7">
      <w:pPr>
        <w:contextualSpacing/>
        <w:rPr>
          <w:rFonts w:cs="Arial"/>
        </w:rPr>
      </w:pPr>
      <w:r w:rsidRPr="00DD646A">
        <w:rPr>
          <w:rFonts w:cs="Arial"/>
        </w:rPr>
        <w:t>ESF</w:t>
      </w:r>
      <w:r w:rsidRPr="00DD646A">
        <w:rPr>
          <w:rFonts w:cs="Arial"/>
        </w:rPr>
        <w:tab/>
      </w:r>
      <w:r w:rsidRPr="00DD646A">
        <w:rPr>
          <w:rFonts w:cs="Arial"/>
        </w:rPr>
        <w:tab/>
        <w:t>Evropský sociální fond</w:t>
      </w:r>
    </w:p>
    <w:p w14:paraId="17E8DF6F" w14:textId="77777777" w:rsidR="006321E7" w:rsidRDefault="006321E7" w:rsidP="006321E7">
      <w:pPr>
        <w:ind w:left="1410" w:hanging="1410"/>
        <w:contextualSpacing/>
        <w:rPr>
          <w:rFonts w:cs="Arial"/>
        </w:rPr>
      </w:pPr>
      <w:r w:rsidRPr="00DD646A">
        <w:rPr>
          <w:rFonts w:cs="Arial"/>
        </w:rPr>
        <w:t>ESIF</w:t>
      </w:r>
      <w:r w:rsidRPr="00DD646A">
        <w:rPr>
          <w:rFonts w:cs="Arial"/>
        </w:rPr>
        <w:tab/>
      </w:r>
      <w:r w:rsidRPr="00DD646A">
        <w:rPr>
          <w:rFonts w:cs="Arial"/>
        </w:rPr>
        <w:tab/>
        <w:t xml:space="preserve">Evropské strukturální a investiční fondy (European Structural and Investment Funds) </w:t>
      </w:r>
    </w:p>
    <w:p w14:paraId="5BD075F2" w14:textId="77777777" w:rsidR="006321E7" w:rsidRPr="00DD646A" w:rsidRDefault="006321E7" w:rsidP="006321E7">
      <w:pPr>
        <w:ind w:left="1410"/>
        <w:contextualSpacing/>
        <w:rPr>
          <w:rFonts w:cs="Arial"/>
        </w:rPr>
      </w:pPr>
      <w:r w:rsidRPr="00DD646A">
        <w:rPr>
          <w:rFonts w:cs="Arial"/>
        </w:rPr>
        <w:t>v období 2014–2020</w:t>
      </w:r>
    </w:p>
    <w:p w14:paraId="6749AFD6" w14:textId="77777777" w:rsidR="006321E7" w:rsidRPr="00DD646A" w:rsidRDefault="006321E7" w:rsidP="006321E7">
      <w:pPr>
        <w:contextualSpacing/>
        <w:rPr>
          <w:rFonts w:cs="Arial"/>
        </w:rPr>
      </w:pPr>
      <w:r w:rsidRPr="00DD646A">
        <w:rPr>
          <w:rFonts w:cs="Arial"/>
        </w:rPr>
        <w:t>EU</w:t>
      </w:r>
      <w:r w:rsidRPr="00DD646A">
        <w:rPr>
          <w:rFonts w:cs="Arial"/>
        </w:rPr>
        <w:tab/>
      </w:r>
      <w:r w:rsidRPr="00DD646A">
        <w:rPr>
          <w:rFonts w:cs="Arial"/>
        </w:rPr>
        <w:tab/>
        <w:t>Evropská unie</w:t>
      </w:r>
    </w:p>
    <w:p w14:paraId="10EB864D" w14:textId="77777777" w:rsidR="006321E7" w:rsidRPr="00DD646A" w:rsidRDefault="006321E7" w:rsidP="006321E7">
      <w:pPr>
        <w:contextualSpacing/>
        <w:rPr>
          <w:rFonts w:cs="Arial"/>
        </w:rPr>
      </w:pPr>
      <w:r w:rsidRPr="00DD646A">
        <w:rPr>
          <w:rFonts w:cs="Arial"/>
        </w:rPr>
        <w:t>FTE</w:t>
      </w:r>
      <w:r w:rsidRPr="00DD646A">
        <w:rPr>
          <w:rFonts w:cs="Arial"/>
        </w:rPr>
        <w:tab/>
      </w:r>
      <w:r w:rsidRPr="00DD646A">
        <w:rPr>
          <w:rFonts w:cs="Arial"/>
        </w:rPr>
        <w:tab/>
        <w:t>Ekvivalent zaměstnance na plný pracovní úvazek (Full Time Equivalent)</w:t>
      </w:r>
    </w:p>
    <w:p w14:paraId="368BFE7B" w14:textId="77777777" w:rsidR="006321E7" w:rsidRPr="00DD646A" w:rsidRDefault="006321E7" w:rsidP="006321E7">
      <w:pPr>
        <w:contextualSpacing/>
        <w:rPr>
          <w:rFonts w:cs="Arial"/>
        </w:rPr>
      </w:pPr>
      <w:r w:rsidRPr="00DD646A">
        <w:rPr>
          <w:rFonts w:cs="Arial"/>
        </w:rPr>
        <w:t>HDP</w:t>
      </w:r>
      <w:r w:rsidRPr="00DD646A">
        <w:rPr>
          <w:rFonts w:cs="Arial"/>
        </w:rPr>
        <w:tab/>
      </w:r>
      <w:r w:rsidRPr="00DD646A">
        <w:rPr>
          <w:rFonts w:cs="Arial"/>
        </w:rPr>
        <w:tab/>
        <w:t>Hrubý domácí produkt</w:t>
      </w:r>
    </w:p>
    <w:p w14:paraId="33AE8B9A" w14:textId="77777777" w:rsidR="006321E7" w:rsidRPr="00DD646A" w:rsidRDefault="006321E7" w:rsidP="006321E7">
      <w:pPr>
        <w:contextualSpacing/>
        <w:rPr>
          <w:rFonts w:cs="Arial"/>
        </w:rPr>
      </w:pPr>
      <w:r w:rsidRPr="00DD646A">
        <w:rPr>
          <w:rFonts w:cs="Arial"/>
        </w:rPr>
        <w:t>hl. m. Praha</w:t>
      </w:r>
      <w:r w:rsidRPr="00DD646A">
        <w:rPr>
          <w:rFonts w:cs="Arial"/>
        </w:rPr>
        <w:tab/>
        <w:t>Hlavní město Praha</w:t>
      </w:r>
    </w:p>
    <w:p w14:paraId="4A2E6165" w14:textId="77777777" w:rsidR="006321E7" w:rsidRPr="00DD646A" w:rsidRDefault="006321E7" w:rsidP="006321E7">
      <w:pPr>
        <w:contextualSpacing/>
        <w:rPr>
          <w:rFonts w:cs="Arial"/>
        </w:rPr>
      </w:pPr>
      <w:r w:rsidRPr="00DD646A">
        <w:rPr>
          <w:rFonts w:cs="Arial"/>
        </w:rPr>
        <w:t>HPH</w:t>
      </w:r>
      <w:r w:rsidRPr="00DD646A">
        <w:rPr>
          <w:rFonts w:cs="Arial"/>
        </w:rPr>
        <w:tab/>
      </w:r>
      <w:r w:rsidRPr="00DD646A">
        <w:rPr>
          <w:rFonts w:cs="Arial"/>
        </w:rPr>
        <w:tab/>
        <w:t>Hrubá přidaná hodnota</w:t>
      </w:r>
    </w:p>
    <w:p w14:paraId="705B4059" w14:textId="77777777" w:rsidR="006321E7" w:rsidRPr="00DD646A" w:rsidRDefault="006321E7" w:rsidP="006321E7">
      <w:pPr>
        <w:contextualSpacing/>
        <w:rPr>
          <w:rFonts w:cs="Arial"/>
        </w:rPr>
      </w:pPr>
      <w:r w:rsidRPr="00DD646A">
        <w:rPr>
          <w:rFonts w:cs="Arial"/>
        </w:rPr>
        <w:t>ICT (IKT)</w:t>
      </w:r>
      <w:r w:rsidRPr="00DD646A">
        <w:rPr>
          <w:rFonts w:cs="Arial"/>
        </w:rPr>
        <w:tab/>
        <w:t>Informační a komunikační technologie</w:t>
      </w:r>
    </w:p>
    <w:p w14:paraId="77C07C4E" w14:textId="77777777" w:rsidR="006321E7" w:rsidRPr="00DD646A" w:rsidRDefault="006321E7" w:rsidP="006321E7">
      <w:pPr>
        <w:contextualSpacing/>
        <w:rPr>
          <w:rFonts w:cs="Arial"/>
        </w:rPr>
      </w:pPr>
      <w:r w:rsidRPr="00DD646A">
        <w:rPr>
          <w:rFonts w:cs="Arial"/>
        </w:rPr>
        <w:t>IROP</w:t>
      </w:r>
      <w:r w:rsidRPr="00DD646A">
        <w:rPr>
          <w:rFonts w:cs="Arial"/>
        </w:rPr>
        <w:tab/>
      </w:r>
      <w:r w:rsidRPr="00DD646A">
        <w:rPr>
          <w:rFonts w:cs="Arial"/>
        </w:rPr>
        <w:tab/>
        <w:t>Integrovaný regionální operační program</w:t>
      </w:r>
    </w:p>
    <w:p w14:paraId="2E6DC4C8" w14:textId="77777777" w:rsidR="006321E7" w:rsidRPr="00DD646A" w:rsidRDefault="006321E7" w:rsidP="006321E7">
      <w:pPr>
        <w:contextualSpacing/>
        <w:rPr>
          <w:rFonts w:cs="Arial"/>
        </w:rPr>
      </w:pPr>
      <w:r w:rsidRPr="00DD646A">
        <w:rPr>
          <w:rFonts w:cs="Arial"/>
        </w:rPr>
        <w:t>IS VaVaI</w:t>
      </w:r>
      <w:r w:rsidRPr="00DD646A">
        <w:rPr>
          <w:rFonts w:cs="Arial"/>
        </w:rPr>
        <w:tab/>
        <w:t>Informační systém výzkumu, vývoje a inovací</w:t>
      </w:r>
    </w:p>
    <w:p w14:paraId="4422FDA7" w14:textId="77777777" w:rsidR="006321E7" w:rsidRDefault="006321E7" w:rsidP="006321E7">
      <w:pPr>
        <w:contextualSpacing/>
        <w:rPr>
          <w:rFonts w:cs="Arial"/>
        </w:rPr>
      </w:pPr>
      <w:r>
        <w:rPr>
          <w:rFonts w:cs="Arial"/>
        </w:rPr>
        <w:t>Kč                      Koruna česká</w:t>
      </w:r>
    </w:p>
    <w:p w14:paraId="0D69D713" w14:textId="77777777" w:rsidR="006321E7" w:rsidRPr="00DD646A" w:rsidRDefault="006321E7" w:rsidP="006321E7">
      <w:pPr>
        <w:contextualSpacing/>
        <w:rPr>
          <w:rFonts w:cs="Arial"/>
        </w:rPr>
      </w:pPr>
      <w:r w:rsidRPr="00DD646A">
        <w:rPr>
          <w:rFonts w:cs="Arial"/>
        </w:rPr>
        <w:t>KETs</w:t>
      </w:r>
      <w:r w:rsidRPr="00DD646A">
        <w:rPr>
          <w:rFonts w:cs="Arial"/>
        </w:rPr>
        <w:tab/>
      </w:r>
      <w:r w:rsidRPr="00DD646A">
        <w:rPr>
          <w:rFonts w:cs="Arial"/>
        </w:rPr>
        <w:tab/>
        <w:t>Key Enabling Technologies</w:t>
      </w:r>
    </w:p>
    <w:p w14:paraId="306C9A7E" w14:textId="77777777" w:rsidR="006321E7" w:rsidRDefault="006321E7" w:rsidP="006321E7">
      <w:pPr>
        <w:contextualSpacing/>
        <w:rPr>
          <w:rFonts w:cs="Arial"/>
        </w:rPr>
      </w:pPr>
      <w:r>
        <w:rPr>
          <w:rFonts w:cs="Arial"/>
        </w:rPr>
        <w:t>KIP</w:t>
      </w:r>
      <w:r>
        <w:rPr>
          <w:rFonts w:cs="Arial"/>
        </w:rPr>
        <w:tab/>
      </w:r>
      <w:r>
        <w:rPr>
          <w:rFonts w:cs="Arial"/>
        </w:rPr>
        <w:tab/>
        <w:t>Krajská inovační platforma</w:t>
      </w:r>
    </w:p>
    <w:p w14:paraId="516F9C27" w14:textId="77777777" w:rsidR="006321E7" w:rsidRDefault="006321E7" w:rsidP="006321E7">
      <w:pPr>
        <w:contextualSpacing/>
        <w:rPr>
          <w:rFonts w:cs="Arial"/>
        </w:rPr>
      </w:pPr>
      <w:r>
        <w:rPr>
          <w:rFonts w:cs="Arial"/>
        </w:rPr>
        <w:t>KRI</w:t>
      </w:r>
      <w:r>
        <w:rPr>
          <w:rFonts w:cs="Arial"/>
        </w:rPr>
        <w:tab/>
      </w:r>
      <w:r>
        <w:rPr>
          <w:rFonts w:cs="Arial"/>
        </w:rPr>
        <w:tab/>
        <w:t>Krajská rada pro inovace</w:t>
      </w:r>
    </w:p>
    <w:p w14:paraId="41C66FD7" w14:textId="77777777" w:rsidR="006321E7" w:rsidRDefault="006321E7" w:rsidP="006321E7">
      <w:pPr>
        <w:contextualSpacing/>
        <w:rPr>
          <w:rFonts w:cs="Arial"/>
        </w:rPr>
      </w:pPr>
      <w:r>
        <w:rPr>
          <w:rFonts w:cs="Arial"/>
        </w:rPr>
        <w:t>MAPS</w:t>
      </w:r>
      <w:r>
        <w:rPr>
          <w:rFonts w:cs="Arial"/>
        </w:rPr>
        <w:tab/>
      </w:r>
      <w:r>
        <w:rPr>
          <w:rFonts w:cs="Arial"/>
        </w:rPr>
        <w:tab/>
        <w:t xml:space="preserve">Mezirezortní analytická pracovní skupina                   </w:t>
      </w:r>
    </w:p>
    <w:p w14:paraId="74BD659E" w14:textId="77777777" w:rsidR="006321E7" w:rsidRDefault="006321E7" w:rsidP="006321E7">
      <w:pPr>
        <w:contextualSpacing/>
        <w:rPr>
          <w:rFonts w:cs="Arial"/>
        </w:rPr>
      </w:pPr>
      <w:r>
        <w:rPr>
          <w:rFonts w:cs="Arial"/>
        </w:rPr>
        <w:t>Mil.                    Milion</w:t>
      </w:r>
    </w:p>
    <w:p w14:paraId="20F0486D" w14:textId="77777777" w:rsidR="006321E7" w:rsidRDefault="006321E7" w:rsidP="006321E7">
      <w:pPr>
        <w:contextualSpacing/>
        <w:rPr>
          <w:rFonts w:cs="Arial"/>
        </w:rPr>
      </w:pPr>
      <w:r>
        <w:rPr>
          <w:rFonts w:cs="Arial"/>
        </w:rPr>
        <w:t>Mld.                   Miliarda</w:t>
      </w:r>
    </w:p>
    <w:p w14:paraId="3D1731F9" w14:textId="77777777" w:rsidR="006321E7" w:rsidRDefault="006321E7" w:rsidP="006321E7">
      <w:pPr>
        <w:contextualSpacing/>
        <w:rPr>
          <w:rFonts w:cs="Arial"/>
        </w:rPr>
      </w:pPr>
      <w:r>
        <w:rPr>
          <w:rFonts w:cs="Arial"/>
        </w:rPr>
        <w:t>MSK                   Moravskoslezský kraj</w:t>
      </w:r>
    </w:p>
    <w:p w14:paraId="3DE4F606" w14:textId="77777777" w:rsidR="006321E7" w:rsidRPr="00DD646A" w:rsidRDefault="006321E7" w:rsidP="006321E7">
      <w:pPr>
        <w:contextualSpacing/>
        <w:rPr>
          <w:rFonts w:cs="Arial"/>
        </w:rPr>
      </w:pPr>
      <w:r w:rsidRPr="00DD646A">
        <w:rPr>
          <w:rFonts w:cs="Arial"/>
        </w:rPr>
        <w:t xml:space="preserve">MMR </w:t>
      </w:r>
      <w:r w:rsidRPr="00DD646A">
        <w:rPr>
          <w:rFonts w:cs="Arial"/>
        </w:rPr>
        <w:tab/>
      </w:r>
      <w:r w:rsidRPr="00DD646A">
        <w:rPr>
          <w:rFonts w:cs="Arial"/>
        </w:rPr>
        <w:tab/>
        <w:t>Ministerstvo pro místní rozvoj</w:t>
      </w:r>
    </w:p>
    <w:p w14:paraId="13BF127C" w14:textId="77777777" w:rsidR="006321E7" w:rsidRPr="00DD646A" w:rsidRDefault="006321E7" w:rsidP="006321E7">
      <w:pPr>
        <w:contextualSpacing/>
        <w:rPr>
          <w:rFonts w:cs="Arial"/>
        </w:rPr>
      </w:pPr>
      <w:r w:rsidRPr="00DD646A">
        <w:rPr>
          <w:rFonts w:cs="Arial"/>
        </w:rPr>
        <w:t>MPO</w:t>
      </w:r>
      <w:r w:rsidRPr="00DD646A">
        <w:rPr>
          <w:rFonts w:cs="Arial"/>
        </w:rPr>
        <w:tab/>
      </w:r>
      <w:r w:rsidRPr="00DD646A">
        <w:rPr>
          <w:rFonts w:cs="Arial"/>
        </w:rPr>
        <w:tab/>
        <w:t>Ministerstvo průmyslu a obchodu</w:t>
      </w:r>
    </w:p>
    <w:p w14:paraId="2434CB68" w14:textId="77777777" w:rsidR="006321E7" w:rsidRPr="00DD646A" w:rsidRDefault="006321E7" w:rsidP="006321E7">
      <w:pPr>
        <w:contextualSpacing/>
        <w:rPr>
          <w:rFonts w:cs="Arial"/>
        </w:rPr>
      </w:pPr>
      <w:r w:rsidRPr="00DD646A">
        <w:rPr>
          <w:rFonts w:cs="Arial"/>
        </w:rPr>
        <w:t>MPSV</w:t>
      </w:r>
      <w:r w:rsidRPr="00DD646A">
        <w:rPr>
          <w:rFonts w:cs="Arial"/>
        </w:rPr>
        <w:tab/>
      </w:r>
      <w:r w:rsidRPr="00DD646A">
        <w:rPr>
          <w:rFonts w:cs="Arial"/>
        </w:rPr>
        <w:tab/>
        <w:t>Ministerstvo práce a sociálních věcí</w:t>
      </w:r>
    </w:p>
    <w:p w14:paraId="186C1CA4" w14:textId="77777777" w:rsidR="006321E7" w:rsidRPr="00212EB3" w:rsidRDefault="006321E7" w:rsidP="006321E7">
      <w:pPr>
        <w:ind w:left="1416" w:hanging="1416"/>
        <w:contextualSpacing/>
        <w:rPr>
          <w:rFonts w:cs="Arial"/>
        </w:rPr>
      </w:pPr>
      <w:r w:rsidRPr="00DD646A">
        <w:rPr>
          <w:rFonts w:cs="Arial"/>
        </w:rPr>
        <w:t>MS2014+</w:t>
      </w:r>
      <w:r>
        <w:rPr>
          <w:rFonts w:cs="Arial"/>
        </w:rPr>
        <w:tab/>
      </w:r>
      <w:r w:rsidRPr="0072208B">
        <w:rPr>
          <w:rFonts w:cs="Arial"/>
        </w:rPr>
        <w:t>Monitorovací systém evropských strukturálních a investičních fondů pro programové období 2014-2020</w:t>
      </w:r>
    </w:p>
    <w:p w14:paraId="06937A7A" w14:textId="77777777" w:rsidR="006321E7" w:rsidRPr="00DD646A" w:rsidRDefault="006321E7" w:rsidP="006321E7">
      <w:pPr>
        <w:contextualSpacing/>
        <w:rPr>
          <w:rFonts w:cs="Arial"/>
        </w:rPr>
      </w:pPr>
      <w:r w:rsidRPr="00DD646A">
        <w:rPr>
          <w:rFonts w:cs="Arial"/>
        </w:rPr>
        <w:t>MSP</w:t>
      </w:r>
      <w:r w:rsidRPr="00DD646A">
        <w:rPr>
          <w:rFonts w:cs="Arial"/>
        </w:rPr>
        <w:tab/>
      </w:r>
      <w:r w:rsidRPr="00DD646A">
        <w:rPr>
          <w:rFonts w:cs="Arial"/>
        </w:rPr>
        <w:tab/>
        <w:t>Malé a střední podniky</w:t>
      </w:r>
    </w:p>
    <w:p w14:paraId="62CE44F4" w14:textId="77777777" w:rsidR="006321E7" w:rsidRPr="00DD646A" w:rsidRDefault="006321E7" w:rsidP="006321E7">
      <w:pPr>
        <w:contextualSpacing/>
        <w:rPr>
          <w:rFonts w:cs="Arial"/>
        </w:rPr>
      </w:pPr>
      <w:r w:rsidRPr="00DD646A">
        <w:rPr>
          <w:rFonts w:cs="Arial"/>
        </w:rPr>
        <w:t>MŠMT</w:t>
      </w:r>
      <w:r w:rsidRPr="00DD646A">
        <w:rPr>
          <w:rFonts w:cs="Arial"/>
        </w:rPr>
        <w:tab/>
      </w:r>
      <w:r w:rsidRPr="00DD646A">
        <w:rPr>
          <w:rFonts w:cs="Arial"/>
        </w:rPr>
        <w:tab/>
        <w:t>Ministerstvo školství, mládeže a tělovýchovy</w:t>
      </w:r>
    </w:p>
    <w:p w14:paraId="1E382C0B" w14:textId="77777777" w:rsidR="006321E7" w:rsidRPr="00DD646A" w:rsidRDefault="006321E7" w:rsidP="006321E7">
      <w:pPr>
        <w:contextualSpacing/>
        <w:rPr>
          <w:rFonts w:cs="Arial"/>
        </w:rPr>
      </w:pPr>
      <w:r w:rsidRPr="00DD646A">
        <w:rPr>
          <w:rFonts w:cs="Arial"/>
        </w:rPr>
        <w:t>MV</w:t>
      </w:r>
      <w:r w:rsidRPr="00DD646A">
        <w:rPr>
          <w:rFonts w:cs="Arial"/>
        </w:rPr>
        <w:tab/>
      </w:r>
      <w:r w:rsidRPr="00DD646A">
        <w:rPr>
          <w:rFonts w:cs="Arial"/>
        </w:rPr>
        <w:tab/>
        <w:t xml:space="preserve">Ministerstvo vnitra </w:t>
      </w:r>
    </w:p>
    <w:p w14:paraId="6BFE6EF2" w14:textId="77777777" w:rsidR="006321E7" w:rsidRDefault="006321E7" w:rsidP="006321E7">
      <w:pPr>
        <w:contextualSpacing/>
        <w:rPr>
          <w:rFonts w:cs="Arial"/>
        </w:rPr>
      </w:pPr>
      <w:r w:rsidRPr="00DD646A">
        <w:rPr>
          <w:rFonts w:cs="Arial"/>
        </w:rPr>
        <w:t>MZ</w:t>
      </w:r>
      <w:r w:rsidRPr="00DD646A">
        <w:rPr>
          <w:rFonts w:cs="Arial"/>
        </w:rPr>
        <w:tab/>
      </w:r>
      <w:r w:rsidRPr="00DD646A">
        <w:rPr>
          <w:rFonts w:cs="Arial"/>
        </w:rPr>
        <w:tab/>
        <w:t>Ministerstvo zdravotnictv</w:t>
      </w:r>
      <w:r>
        <w:rPr>
          <w:rFonts w:cs="Arial"/>
        </w:rPr>
        <w:t>í</w:t>
      </w:r>
    </w:p>
    <w:p w14:paraId="1AF328A9" w14:textId="77777777" w:rsidR="006321E7" w:rsidRPr="00DD646A" w:rsidRDefault="006321E7" w:rsidP="006321E7">
      <w:pPr>
        <w:contextualSpacing/>
        <w:rPr>
          <w:rFonts w:cs="Arial"/>
        </w:rPr>
      </w:pPr>
      <w:r w:rsidRPr="00DD646A">
        <w:rPr>
          <w:rFonts w:cs="Arial"/>
        </w:rPr>
        <w:lastRenderedPageBreak/>
        <w:t>MZe</w:t>
      </w:r>
      <w:r w:rsidRPr="00DD646A">
        <w:rPr>
          <w:rFonts w:cs="Arial"/>
        </w:rPr>
        <w:tab/>
      </w:r>
      <w:r w:rsidRPr="00DD646A">
        <w:rPr>
          <w:rFonts w:cs="Arial"/>
        </w:rPr>
        <w:tab/>
        <w:t>Ministerstvo zemědělství</w:t>
      </w:r>
    </w:p>
    <w:p w14:paraId="7D6BA0DA" w14:textId="77777777" w:rsidR="006321E7" w:rsidRDefault="006321E7" w:rsidP="006321E7">
      <w:pPr>
        <w:contextualSpacing/>
        <w:rPr>
          <w:rFonts w:cs="Arial"/>
        </w:rPr>
      </w:pPr>
      <w:r>
        <w:rPr>
          <w:rFonts w:cs="Arial"/>
        </w:rPr>
        <w:t>NČI                    Národní číselník indikátorů</w:t>
      </w:r>
    </w:p>
    <w:p w14:paraId="2506B3A6" w14:textId="77777777" w:rsidR="006321E7" w:rsidRDefault="006321E7" w:rsidP="006321E7">
      <w:pPr>
        <w:contextualSpacing/>
        <w:rPr>
          <w:rFonts w:cs="Arial"/>
        </w:rPr>
      </w:pPr>
      <w:r>
        <w:rPr>
          <w:rFonts w:cs="Arial"/>
        </w:rPr>
        <w:t>NIP                    Národní inovační platforma</w:t>
      </w:r>
    </w:p>
    <w:p w14:paraId="0D26A2E0" w14:textId="77777777" w:rsidR="006321E7" w:rsidRDefault="006321E7" w:rsidP="006321E7">
      <w:pPr>
        <w:contextualSpacing/>
        <w:rPr>
          <w:rFonts w:cs="Arial"/>
        </w:rPr>
      </w:pPr>
      <w:r>
        <w:rPr>
          <w:rFonts w:cs="Arial"/>
        </w:rPr>
        <w:t>NNO                  Nestátní nezisková organizace</w:t>
      </w:r>
    </w:p>
    <w:p w14:paraId="1E432E5D" w14:textId="77777777" w:rsidR="006321E7" w:rsidRDefault="006321E7" w:rsidP="006321E7">
      <w:pPr>
        <w:contextualSpacing/>
        <w:rPr>
          <w:rFonts w:cs="Arial"/>
        </w:rPr>
      </w:pPr>
      <w:r>
        <w:rPr>
          <w:rFonts w:cs="Arial"/>
        </w:rPr>
        <w:t>NOK                  Národní orgán pro koordinaci</w:t>
      </w:r>
    </w:p>
    <w:p w14:paraId="1256681A" w14:textId="77777777" w:rsidR="006321E7" w:rsidRDefault="006321E7" w:rsidP="006321E7">
      <w:pPr>
        <w:contextualSpacing/>
        <w:rPr>
          <w:rFonts w:cs="Arial"/>
        </w:rPr>
      </w:pPr>
      <w:r>
        <w:rPr>
          <w:rFonts w:cs="Arial"/>
        </w:rPr>
        <w:t>NPOV                Národní priority orientovaného výzkumu</w:t>
      </w:r>
    </w:p>
    <w:p w14:paraId="17E45768" w14:textId="77777777" w:rsidR="006321E7" w:rsidRPr="00DD646A" w:rsidRDefault="006321E7" w:rsidP="006321E7">
      <w:pPr>
        <w:ind w:left="2832" w:hanging="2832"/>
        <w:contextualSpacing/>
        <w:jc w:val="left"/>
        <w:rPr>
          <w:rFonts w:cs="Arial"/>
        </w:rPr>
      </w:pPr>
      <w:r>
        <w:rPr>
          <w:rFonts w:cs="Arial"/>
        </w:rPr>
        <w:t xml:space="preserve">NRIS3                </w:t>
      </w:r>
      <w:r w:rsidRPr="00914399">
        <w:rPr>
          <w:rFonts w:cs="Arial"/>
        </w:rPr>
        <w:t xml:space="preserve">Národní výzkumná a inovační strategie pro inteligentní specializaci </w:t>
      </w:r>
      <w:r>
        <w:rPr>
          <w:rFonts w:cs="Arial"/>
        </w:rPr>
        <w:t>ČR</w:t>
      </w:r>
    </w:p>
    <w:p w14:paraId="2DF9FFD5" w14:textId="77777777" w:rsidR="006321E7" w:rsidRPr="00DD646A" w:rsidRDefault="006321E7" w:rsidP="006321E7">
      <w:pPr>
        <w:contextualSpacing/>
        <w:rPr>
          <w:rFonts w:cs="Arial"/>
        </w:rPr>
      </w:pPr>
      <w:r w:rsidRPr="00DD646A">
        <w:rPr>
          <w:rFonts w:cs="Arial"/>
        </w:rPr>
        <w:t>NP VaVaI</w:t>
      </w:r>
      <w:r w:rsidRPr="00DD646A">
        <w:rPr>
          <w:rFonts w:cs="Arial"/>
        </w:rPr>
        <w:tab/>
      </w:r>
      <w:r w:rsidRPr="00DD646A">
        <w:t>Národní politika výzkumu, vývoje a inovací</w:t>
      </w:r>
    </w:p>
    <w:p w14:paraId="6AD85A0E" w14:textId="77777777" w:rsidR="006321E7" w:rsidRDefault="006321E7" w:rsidP="006321E7">
      <w:pPr>
        <w:ind w:left="1410" w:hanging="1410"/>
        <w:contextualSpacing/>
        <w:rPr>
          <w:rFonts w:cs="Arial"/>
        </w:rPr>
      </w:pPr>
      <w:r w:rsidRPr="00DD646A">
        <w:rPr>
          <w:rFonts w:cs="Arial"/>
        </w:rPr>
        <w:t>OECD</w:t>
      </w:r>
      <w:r w:rsidRPr="00DD646A">
        <w:rPr>
          <w:rFonts w:cs="Arial"/>
        </w:rPr>
        <w:tab/>
      </w:r>
      <w:r w:rsidRPr="00DD646A">
        <w:rPr>
          <w:rFonts w:cs="Arial"/>
        </w:rPr>
        <w:tab/>
        <w:t>Organizace pro hospodářskou spolupráci a rozvoj (Organisation for Economic Co-</w:t>
      </w:r>
    </w:p>
    <w:p w14:paraId="0903B676" w14:textId="77777777" w:rsidR="006321E7" w:rsidRPr="00DD646A" w:rsidRDefault="006321E7" w:rsidP="006321E7">
      <w:pPr>
        <w:ind w:left="1410"/>
        <w:contextualSpacing/>
        <w:rPr>
          <w:rFonts w:cs="Arial"/>
        </w:rPr>
      </w:pPr>
      <w:r w:rsidRPr="00DD646A">
        <w:rPr>
          <w:rFonts w:cs="Arial"/>
        </w:rPr>
        <w:t>operation and Development)</w:t>
      </w:r>
    </w:p>
    <w:p w14:paraId="6E7B8B94" w14:textId="77777777" w:rsidR="006321E7" w:rsidRDefault="006321E7" w:rsidP="006321E7">
      <w:pPr>
        <w:contextualSpacing/>
        <w:rPr>
          <w:rFonts w:cs="Arial"/>
        </w:rPr>
      </w:pPr>
      <w:r>
        <w:rPr>
          <w:rFonts w:cs="Arial"/>
        </w:rPr>
        <w:t>OP                     Operační program</w:t>
      </w:r>
    </w:p>
    <w:p w14:paraId="14A6AE3F" w14:textId="77777777" w:rsidR="006321E7" w:rsidRPr="00DD646A" w:rsidRDefault="006321E7" w:rsidP="006321E7">
      <w:pPr>
        <w:contextualSpacing/>
        <w:rPr>
          <w:rFonts w:cs="Arial"/>
        </w:rPr>
      </w:pPr>
      <w:r w:rsidRPr="00DD646A">
        <w:rPr>
          <w:rFonts w:cs="Arial"/>
        </w:rPr>
        <w:t>OP PIK</w:t>
      </w:r>
      <w:r w:rsidRPr="00DD646A">
        <w:rPr>
          <w:rFonts w:cs="Arial"/>
        </w:rPr>
        <w:tab/>
      </w:r>
      <w:r w:rsidRPr="00DD646A">
        <w:rPr>
          <w:rFonts w:cs="Arial"/>
        </w:rPr>
        <w:tab/>
        <w:t>Operační program Podnikání a inovace pro konkurenceschopnost</w:t>
      </w:r>
    </w:p>
    <w:p w14:paraId="59775591" w14:textId="77777777" w:rsidR="006321E7" w:rsidRDefault="006321E7" w:rsidP="006321E7">
      <w:pPr>
        <w:contextualSpacing/>
        <w:rPr>
          <w:rFonts w:cs="Arial"/>
        </w:rPr>
      </w:pPr>
      <w:r w:rsidRPr="00DD646A">
        <w:rPr>
          <w:rFonts w:cs="Arial"/>
        </w:rPr>
        <w:t>OP PPR</w:t>
      </w:r>
      <w:r w:rsidRPr="00DD646A">
        <w:rPr>
          <w:rFonts w:cs="Arial"/>
        </w:rPr>
        <w:tab/>
      </w:r>
      <w:r w:rsidRPr="00DD646A">
        <w:rPr>
          <w:rFonts w:cs="Arial"/>
        </w:rPr>
        <w:tab/>
        <w:t>Operační program Praha - pól růstu ČR</w:t>
      </w:r>
    </w:p>
    <w:p w14:paraId="521A7BBC" w14:textId="77777777" w:rsidR="006321E7" w:rsidRPr="00DD646A" w:rsidRDefault="006321E7" w:rsidP="006321E7">
      <w:pPr>
        <w:contextualSpacing/>
        <w:rPr>
          <w:rFonts w:cs="Arial"/>
        </w:rPr>
      </w:pPr>
      <w:r w:rsidRPr="00DD646A">
        <w:rPr>
          <w:rFonts w:cs="Arial"/>
        </w:rPr>
        <w:t>OP VVV</w:t>
      </w:r>
      <w:r w:rsidRPr="00DD646A">
        <w:rPr>
          <w:rFonts w:cs="Arial"/>
        </w:rPr>
        <w:tab/>
      </w:r>
      <w:r w:rsidRPr="00DD646A">
        <w:rPr>
          <w:rFonts w:cs="Arial"/>
        </w:rPr>
        <w:tab/>
        <w:t>Operační program Výzkum, vývoj a vzdělávání</w:t>
      </w:r>
    </w:p>
    <w:p w14:paraId="5D09AFE4" w14:textId="77777777" w:rsidR="006321E7" w:rsidRPr="00DD646A" w:rsidRDefault="006321E7" w:rsidP="006321E7">
      <w:pPr>
        <w:contextualSpacing/>
        <w:rPr>
          <w:rFonts w:cs="Arial"/>
        </w:rPr>
      </w:pPr>
      <w:r w:rsidRPr="00DD646A">
        <w:rPr>
          <w:rFonts w:cs="Arial"/>
        </w:rPr>
        <w:t>OP Z</w:t>
      </w:r>
      <w:r w:rsidRPr="00DD646A">
        <w:rPr>
          <w:rFonts w:cs="Arial"/>
        </w:rPr>
        <w:tab/>
      </w:r>
      <w:r w:rsidRPr="00DD646A">
        <w:rPr>
          <w:rFonts w:cs="Arial"/>
        </w:rPr>
        <w:tab/>
        <w:t>Operační program Zaměstnanost</w:t>
      </w:r>
    </w:p>
    <w:p w14:paraId="57AD9A70" w14:textId="77777777" w:rsidR="006321E7" w:rsidRPr="00DD646A" w:rsidRDefault="006321E7" w:rsidP="006321E7">
      <w:pPr>
        <w:contextualSpacing/>
        <w:rPr>
          <w:rFonts w:cs="Arial"/>
        </w:rPr>
      </w:pPr>
      <w:r w:rsidRPr="00DD646A">
        <w:rPr>
          <w:rFonts w:cs="Arial"/>
        </w:rPr>
        <w:t>PZI</w:t>
      </w:r>
      <w:r w:rsidRPr="00DD646A">
        <w:rPr>
          <w:rFonts w:cs="Arial"/>
        </w:rPr>
        <w:tab/>
      </w:r>
      <w:r w:rsidRPr="00DD646A">
        <w:rPr>
          <w:rFonts w:cs="Arial"/>
        </w:rPr>
        <w:tab/>
        <w:t>Přímé zahraniční investice</w:t>
      </w:r>
    </w:p>
    <w:p w14:paraId="3A0AA802" w14:textId="77777777" w:rsidR="006321E7" w:rsidRDefault="006321E7" w:rsidP="006321E7">
      <w:pPr>
        <w:ind w:left="1410" w:hanging="1410"/>
        <w:contextualSpacing/>
        <w:rPr>
          <w:rFonts w:cs="Arial"/>
        </w:rPr>
      </w:pPr>
      <w:r w:rsidRPr="00DD646A">
        <w:rPr>
          <w:rFonts w:cs="Arial"/>
        </w:rPr>
        <w:t>RIS3</w:t>
      </w:r>
      <w:r w:rsidRPr="00DD646A">
        <w:rPr>
          <w:rFonts w:cs="Arial"/>
        </w:rPr>
        <w:tab/>
        <w:t xml:space="preserve">Research and Innovation Strategy for Smart Specialization (Výzkumná a inovační </w:t>
      </w:r>
    </w:p>
    <w:p w14:paraId="45DC2F17" w14:textId="77777777" w:rsidR="006321E7" w:rsidRPr="00DD646A" w:rsidRDefault="006321E7" w:rsidP="006321E7">
      <w:pPr>
        <w:ind w:left="1410"/>
        <w:contextualSpacing/>
        <w:rPr>
          <w:rFonts w:cs="Arial"/>
        </w:rPr>
      </w:pPr>
      <w:r w:rsidRPr="00DD646A">
        <w:rPr>
          <w:rFonts w:cs="Arial"/>
        </w:rPr>
        <w:t>strategie pro inteligentní specializaci/ zkr. Strategie inteligentní specializace)</w:t>
      </w:r>
    </w:p>
    <w:p w14:paraId="2B076172" w14:textId="77777777" w:rsidR="006321E7" w:rsidRPr="00DD646A" w:rsidRDefault="006321E7" w:rsidP="006321E7">
      <w:pPr>
        <w:contextualSpacing/>
        <w:rPr>
          <w:rFonts w:cs="Arial"/>
        </w:rPr>
      </w:pPr>
      <w:r w:rsidRPr="00DD646A">
        <w:rPr>
          <w:rFonts w:cs="Arial"/>
        </w:rPr>
        <w:t>RVVI</w:t>
      </w:r>
      <w:r w:rsidRPr="00DD646A">
        <w:rPr>
          <w:rFonts w:cs="Arial"/>
        </w:rPr>
        <w:tab/>
      </w:r>
      <w:r w:rsidRPr="00DD646A">
        <w:rPr>
          <w:rFonts w:cs="Arial"/>
        </w:rPr>
        <w:tab/>
        <w:t>Rada pro výzkum, vývoj a inovace</w:t>
      </w:r>
    </w:p>
    <w:p w14:paraId="55320EF5" w14:textId="77777777" w:rsidR="006321E7" w:rsidRDefault="006321E7" w:rsidP="006321E7">
      <w:pPr>
        <w:contextualSpacing/>
        <w:rPr>
          <w:rFonts w:cs="Arial"/>
        </w:rPr>
      </w:pPr>
      <w:r>
        <w:rPr>
          <w:rFonts w:cs="Arial"/>
        </w:rPr>
        <w:t>ŘO                     Řídící orgán</w:t>
      </w:r>
    </w:p>
    <w:p w14:paraId="7C749DD9" w14:textId="77777777" w:rsidR="006321E7" w:rsidRDefault="006321E7" w:rsidP="006321E7">
      <w:pPr>
        <w:contextualSpacing/>
        <w:jc w:val="left"/>
        <w:rPr>
          <w:rFonts w:cs="Arial"/>
        </w:rPr>
      </w:pPr>
      <w:r>
        <w:rPr>
          <w:rFonts w:cs="Arial"/>
        </w:rPr>
        <w:t>ŘV                     Řídící výbor</w:t>
      </w:r>
    </w:p>
    <w:p w14:paraId="20D88DA9" w14:textId="77777777" w:rsidR="006321E7" w:rsidRDefault="006321E7" w:rsidP="006321E7">
      <w:pPr>
        <w:contextualSpacing/>
        <w:rPr>
          <w:rFonts w:cs="Arial"/>
        </w:rPr>
      </w:pPr>
      <w:r>
        <w:rPr>
          <w:rFonts w:cs="Arial"/>
        </w:rPr>
        <w:t>S3</w:t>
      </w:r>
      <w:r>
        <w:rPr>
          <w:rFonts w:cs="Arial"/>
        </w:rPr>
        <w:tab/>
      </w:r>
      <w:r>
        <w:rPr>
          <w:rFonts w:cs="Arial"/>
        </w:rPr>
        <w:tab/>
        <w:t>Smart Specialisation Strategy</w:t>
      </w:r>
    </w:p>
    <w:p w14:paraId="2EBF61BD" w14:textId="77777777" w:rsidR="006321E7" w:rsidRPr="00DD646A" w:rsidRDefault="006321E7" w:rsidP="006321E7">
      <w:pPr>
        <w:contextualSpacing/>
        <w:rPr>
          <w:rFonts w:cs="Arial"/>
        </w:rPr>
      </w:pPr>
      <w:r w:rsidRPr="00DD646A">
        <w:rPr>
          <w:rFonts w:cs="Arial"/>
        </w:rPr>
        <w:t>TA ČR</w:t>
      </w:r>
      <w:r w:rsidRPr="00DD646A">
        <w:rPr>
          <w:rFonts w:cs="Arial"/>
        </w:rPr>
        <w:tab/>
      </w:r>
      <w:r w:rsidRPr="00DD646A">
        <w:rPr>
          <w:rFonts w:cs="Arial"/>
        </w:rPr>
        <w:tab/>
        <w:t>Technologická agentura ČR</w:t>
      </w:r>
    </w:p>
    <w:p w14:paraId="7F15653A" w14:textId="77777777" w:rsidR="006321E7" w:rsidRPr="00DD646A" w:rsidRDefault="006321E7" w:rsidP="006321E7">
      <w:pPr>
        <w:contextualSpacing/>
        <w:rPr>
          <w:rFonts w:cs="Arial"/>
        </w:rPr>
      </w:pPr>
      <w:r w:rsidRPr="00DD646A">
        <w:rPr>
          <w:rFonts w:cs="Arial"/>
        </w:rPr>
        <w:t>v.v.i.</w:t>
      </w:r>
      <w:r w:rsidRPr="00DD646A">
        <w:rPr>
          <w:rFonts w:cs="Arial"/>
        </w:rPr>
        <w:tab/>
      </w:r>
      <w:r w:rsidRPr="00DD646A">
        <w:rPr>
          <w:rFonts w:cs="Arial"/>
        </w:rPr>
        <w:tab/>
      </w:r>
      <w:r>
        <w:rPr>
          <w:rFonts w:cs="Arial"/>
        </w:rPr>
        <w:t>V</w:t>
      </w:r>
      <w:r w:rsidRPr="00DD646A">
        <w:rPr>
          <w:rFonts w:cs="Arial"/>
        </w:rPr>
        <w:t>eřejná výzkumná instituce</w:t>
      </w:r>
    </w:p>
    <w:p w14:paraId="72D94C8A" w14:textId="77777777" w:rsidR="006321E7" w:rsidRPr="00DD646A" w:rsidRDefault="006321E7" w:rsidP="006321E7">
      <w:pPr>
        <w:contextualSpacing/>
        <w:rPr>
          <w:rFonts w:cs="Arial"/>
        </w:rPr>
      </w:pPr>
      <w:r w:rsidRPr="00DD646A">
        <w:rPr>
          <w:rFonts w:cs="Arial"/>
        </w:rPr>
        <w:t>VaV</w:t>
      </w:r>
      <w:r w:rsidRPr="00DD646A">
        <w:rPr>
          <w:rFonts w:cs="Arial"/>
        </w:rPr>
        <w:tab/>
      </w:r>
      <w:r w:rsidRPr="00DD646A">
        <w:rPr>
          <w:rFonts w:cs="Arial"/>
        </w:rPr>
        <w:tab/>
      </w:r>
      <w:r>
        <w:rPr>
          <w:rFonts w:cs="Arial"/>
        </w:rPr>
        <w:t>V</w:t>
      </w:r>
      <w:r w:rsidRPr="00DD646A">
        <w:rPr>
          <w:rFonts w:cs="Arial"/>
        </w:rPr>
        <w:t>ýzkum a vývoj</w:t>
      </w:r>
    </w:p>
    <w:p w14:paraId="155A4EAF" w14:textId="77777777" w:rsidR="006321E7" w:rsidRPr="00DD646A" w:rsidRDefault="006321E7" w:rsidP="006321E7">
      <w:pPr>
        <w:contextualSpacing/>
        <w:rPr>
          <w:rFonts w:cs="Arial"/>
        </w:rPr>
      </w:pPr>
      <w:r w:rsidRPr="00DD646A">
        <w:rPr>
          <w:rFonts w:cs="Arial"/>
        </w:rPr>
        <w:t>VaVaI</w:t>
      </w:r>
      <w:r w:rsidRPr="00DD646A">
        <w:rPr>
          <w:rFonts w:cs="Arial"/>
        </w:rPr>
        <w:tab/>
      </w:r>
      <w:r w:rsidRPr="00DD646A">
        <w:rPr>
          <w:rFonts w:cs="Arial"/>
        </w:rPr>
        <w:tab/>
      </w:r>
      <w:r>
        <w:rPr>
          <w:rFonts w:cs="Arial"/>
        </w:rPr>
        <w:t>V</w:t>
      </w:r>
      <w:r w:rsidRPr="00DD646A">
        <w:rPr>
          <w:rFonts w:cs="Arial"/>
        </w:rPr>
        <w:t>ýzkum, vývoj a inovace</w:t>
      </w:r>
    </w:p>
    <w:p w14:paraId="44894F7D" w14:textId="77777777" w:rsidR="006321E7" w:rsidRPr="00DD646A" w:rsidRDefault="006321E7" w:rsidP="006321E7">
      <w:pPr>
        <w:contextualSpacing/>
        <w:rPr>
          <w:rFonts w:cs="Arial"/>
        </w:rPr>
      </w:pPr>
      <w:r w:rsidRPr="00DD646A">
        <w:rPr>
          <w:rFonts w:cs="Arial"/>
        </w:rPr>
        <w:t>VO</w:t>
      </w:r>
      <w:r w:rsidRPr="00DD646A">
        <w:rPr>
          <w:rFonts w:cs="Arial"/>
        </w:rPr>
        <w:tab/>
      </w:r>
      <w:r w:rsidRPr="00DD646A">
        <w:rPr>
          <w:rFonts w:cs="Arial"/>
        </w:rPr>
        <w:tab/>
      </w:r>
      <w:r>
        <w:rPr>
          <w:rFonts w:cs="Arial"/>
        </w:rPr>
        <w:t>V</w:t>
      </w:r>
      <w:r w:rsidRPr="00DD646A">
        <w:rPr>
          <w:rFonts w:cs="Arial"/>
        </w:rPr>
        <w:t>ýzkumné organizace</w:t>
      </w:r>
    </w:p>
    <w:p w14:paraId="62BB45ED" w14:textId="77777777" w:rsidR="006321E7" w:rsidRPr="00DD646A" w:rsidRDefault="006321E7" w:rsidP="006321E7">
      <w:pPr>
        <w:contextualSpacing/>
        <w:rPr>
          <w:rFonts w:cs="Arial"/>
        </w:rPr>
      </w:pPr>
      <w:r w:rsidRPr="00DD646A">
        <w:rPr>
          <w:rFonts w:cs="Arial"/>
        </w:rPr>
        <w:t>VŠ</w:t>
      </w:r>
      <w:r w:rsidRPr="00DD646A">
        <w:rPr>
          <w:rFonts w:cs="Arial"/>
        </w:rPr>
        <w:tab/>
      </w:r>
      <w:r w:rsidRPr="00DD646A">
        <w:rPr>
          <w:rFonts w:cs="Arial"/>
        </w:rPr>
        <w:tab/>
        <w:t>Vysoké školy</w:t>
      </w:r>
    </w:p>
    <w:p w14:paraId="457674EE" w14:textId="77777777" w:rsidR="006321E7" w:rsidRDefault="006321E7" w:rsidP="006321E7">
      <w:pPr>
        <w:contextualSpacing/>
        <w:rPr>
          <w:rFonts w:cs="Arial"/>
        </w:rPr>
      </w:pPr>
      <w:r w:rsidRPr="00DD646A">
        <w:rPr>
          <w:rFonts w:cs="Arial"/>
        </w:rPr>
        <w:t>VTP</w:t>
      </w:r>
      <w:r w:rsidRPr="00DD646A">
        <w:rPr>
          <w:rFonts w:cs="Arial"/>
        </w:rPr>
        <w:tab/>
      </w:r>
      <w:r w:rsidRPr="00DD646A">
        <w:rPr>
          <w:rFonts w:cs="Arial"/>
        </w:rPr>
        <w:tab/>
      </w:r>
      <w:r>
        <w:rPr>
          <w:rFonts w:cs="Arial"/>
        </w:rPr>
        <w:t>V</w:t>
      </w:r>
      <w:r w:rsidRPr="00DD646A">
        <w:rPr>
          <w:rFonts w:cs="Arial"/>
        </w:rPr>
        <w:t>ědeckotechnický park</w:t>
      </w:r>
    </w:p>
    <w:p w14:paraId="6C70B483" w14:textId="77777777" w:rsidR="006321E7" w:rsidRPr="00DD646A" w:rsidRDefault="006321E7" w:rsidP="006321E7">
      <w:pPr>
        <w:contextualSpacing/>
        <w:rPr>
          <w:rFonts w:cs="Arial"/>
        </w:rPr>
      </w:pPr>
      <w:r>
        <w:rPr>
          <w:rFonts w:cs="Arial"/>
        </w:rPr>
        <w:t>z. ú.                    Zapsaný ústav</w:t>
      </w:r>
    </w:p>
    <w:p w14:paraId="3AC9EE91" w14:textId="77777777" w:rsidR="006321E7" w:rsidRDefault="006321E7" w:rsidP="006321E7"/>
    <w:p w14:paraId="6FD1F695" w14:textId="77777777" w:rsidR="006321E7" w:rsidRDefault="006321E7" w:rsidP="006321E7"/>
    <w:p w14:paraId="64ED9E06" w14:textId="77777777" w:rsidR="008F05DE" w:rsidRDefault="008F05DE">
      <w:pPr>
        <w:spacing w:before="0" w:after="0" w:line="240" w:lineRule="auto"/>
        <w:jc w:val="left"/>
        <w:rPr>
          <w:rFonts w:asciiTheme="majorHAnsi" w:eastAsiaTheme="majorEastAsia" w:hAnsiTheme="majorHAnsi" w:cstheme="majorBidi"/>
          <w:b/>
          <w:bCs/>
          <w:color w:val="004B8D"/>
          <w:spacing w:val="0"/>
          <w:sz w:val="32"/>
          <w:szCs w:val="32"/>
          <w:lang w:bidi="ar-SA"/>
        </w:rPr>
      </w:pPr>
      <w:r>
        <w:rPr>
          <w:rFonts w:asciiTheme="majorHAnsi" w:eastAsiaTheme="majorEastAsia" w:hAnsiTheme="majorHAnsi" w:cstheme="majorBidi"/>
          <w:color w:val="004B8D"/>
          <w:spacing w:val="0"/>
          <w:sz w:val="32"/>
          <w:szCs w:val="32"/>
          <w:lang w:bidi="ar-SA"/>
        </w:rPr>
        <w:br w:type="page"/>
      </w:r>
    </w:p>
    <w:p w14:paraId="0AD43B9A" w14:textId="77777777" w:rsidR="00944AA8" w:rsidRDefault="008F05DE" w:rsidP="00944AA8">
      <w:pPr>
        <w:pStyle w:val="Nadpis1"/>
        <w:numPr>
          <w:ilvl w:val="0"/>
          <w:numId w:val="0"/>
        </w:numPr>
        <w:pBdr>
          <w:top w:val="none" w:sz="0" w:space="0" w:color="auto"/>
          <w:left w:val="none" w:sz="0" w:space="0" w:color="auto"/>
        </w:pBdr>
        <w:jc w:val="left"/>
        <w:rPr>
          <w:rFonts w:asciiTheme="majorHAnsi" w:eastAsiaTheme="majorEastAsia" w:hAnsiTheme="majorHAnsi" w:cstheme="majorBidi"/>
          <w:color w:val="004B8D"/>
          <w:spacing w:val="0"/>
          <w:sz w:val="32"/>
          <w:szCs w:val="32"/>
          <w:lang w:bidi="ar-SA"/>
        </w:rPr>
      </w:pPr>
      <w:bookmarkStart w:id="1" w:name="_Toc5626433"/>
      <w:r>
        <w:rPr>
          <w:rFonts w:asciiTheme="majorHAnsi" w:eastAsiaTheme="majorEastAsia" w:hAnsiTheme="majorHAnsi" w:cstheme="majorBidi"/>
          <w:color w:val="004B8D"/>
          <w:spacing w:val="0"/>
          <w:sz w:val="32"/>
          <w:szCs w:val="32"/>
          <w:lang w:bidi="ar-SA"/>
        </w:rPr>
        <w:lastRenderedPageBreak/>
        <w:t>Manažerské shrnutí</w:t>
      </w:r>
      <w:bookmarkEnd w:id="1"/>
    </w:p>
    <w:p w14:paraId="1EA77672" w14:textId="5B112F46" w:rsidR="009715E8" w:rsidRDefault="009715E8" w:rsidP="009715E8">
      <w:pPr>
        <w:rPr>
          <w:lang w:bidi="ar-SA"/>
        </w:rPr>
      </w:pPr>
      <w:r>
        <w:rPr>
          <w:lang w:bidi="ar-SA"/>
        </w:rPr>
        <w:t>Hodnotící zpráva je výstupem mid-term evaluace Národní RIS3 strategie a představuje souhrnné vyhodnocení dosavadního průběhu implementace Národní RIS3 strategie v období od jejího schválení Evropskou komisí v roce 2016 do konce roku 2018, jedná se tedy o její vyhodnocení „v</w:t>
      </w:r>
      <w:r w:rsidR="00DF29B9">
        <w:rPr>
          <w:lang w:bidi="ar-SA"/>
        </w:rPr>
        <w:t> </w:t>
      </w:r>
      <w:r>
        <w:rPr>
          <w:lang w:bidi="ar-SA"/>
        </w:rPr>
        <w:t xml:space="preserve">polovině období“.  </w:t>
      </w:r>
    </w:p>
    <w:p w14:paraId="1977BEB8" w14:textId="2BC37E32" w:rsidR="009715E8" w:rsidRDefault="009715E8" w:rsidP="009715E8">
      <w:pPr>
        <w:spacing w:before="0"/>
      </w:pPr>
      <w:r>
        <w:t>Evaluace byla realizována interně (v rámci interního týmu Oddělení strategie S3 na MPO) a to rozšířením týmu o evaluátora. Probíhala v období 06/2018 – 04/2019, byly použity kvantitativní i</w:t>
      </w:r>
      <w:r w:rsidR="00DF29B9">
        <w:t> </w:t>
      </w:r>
      <w:r>
        <w:t>kvalitativní metody sběru a analýzy dat. Klíčovou metodou terénního šetření bylo dotazníkové šetření. Dotazníkové šetření se zaměřilo na všechny typy stakeholderů Národní RIS3 strategie</w:t>
      </w:r>
      <w:r>
        <w:rPr>
          <w:rStyle w:val="Znakapoznpodarou"/>
        </w:rPr>
        <w:footnoteReference w:id="1"/>
      </w:r>
      <w:r>
        <w:t xml:space="preserve">, přičemž pro každý typ stakeholderů byl připraven samostatný dotazník zohledňující specifika jeho role v procesu implementace RIS3 strategie. Dotazníkem bylo osloveno více než 6 500 osob, kompletně dotazník vyplnilo 1 522 respondentů. </w:t>
      </w:r>
    </w:p>
    <w:p w14:paraId="21DC6160" w14:textId="77777777" w:rsidR="009715E8" w:rsidRDefault="009715E8" w:rsidP="009715E8">
      <w:pPr>
        <w:spacing w:before="0"/>
      </w:pPr>
      <w:r>
        <w:t xml:space="preserve">Struktura Hodnotící zprávy, resp. dílčí zjištění a závěry korespondují se zadáním evaluace ve čtyřech evaluačních okruzích (kapitoly 3, 4, 5 a 6). Kapitola 7 obsahuje souhrn hlavních závěrů, včetně konkrétních doporučení. Součástí zprávy je 7, resp. 8 příloh (detailní vyhodnocení dotazníkových šetření, alokace finančních prostředku na klíčové oblasti změn, krajské přílohy). </w:t>
      </w:r>
    </w:p>
    <w:p w14:paraId="1E90731F" w14:textId="77777777" w:rsidR="009715E8" w:rsidRPr="0093522F" w:rsidRDefault="009715E8" w:rsidP="009715E8">
      <w:pPr>
        <w:rPr>
          <w:lang w:bidi="ar-SA"/>
        </w:rPr>
      </w:pPr>
      <w:r w:rsidRPr="0093522F">
        <w:rPr>
          <w:lang w:bidi="ar-SA"/>
        </w:rPr>
        <w:t xml:space="preserve">ČR začala uplatňovat koncept RIS3 strategie, tak jak ho vnímá Evropská komise, </w:t>
      </w:r>
      <w:r>
        <w:rPr>
          <w:lang w:bidi="ar-SA"/>
        </w:rPr>
        <w:t xml:space="preserve"> od roku 2014, kdy byla zpracována první verze strategie. A</w:t>
      </w:r>
      <w:r w:rsidRPr="008566B9">
        <w:rPr>
          <w:lang w:bidi="ar-SA"/>
        </w:rPr>
        <w:t>ktualizované znění Národní RIS3 strategie bylo schváleno usnesením vlády č. 634 ze dne 11. července 2016</w:t>
      </w:r>
      <w:r>
        <w:rPr>
          <w:rStyle w:val="Znakapoznpodarou"/>
          <w:lang w:bidi="ar-SA"/>
        </w:rPr>
        <w:footnoteReference w:id="2"/>
      </w:r>
      <w:r w:rsidRPr="008566B9">
        <w:rPr>
          <w:lang w:bidi="ar-SA"/>
        </w:rPr>
        <w:t>, a poté 29. září 2016 bylo schváleno Evropskou komisí.</w:t>
      </w:r>
      <w:r w:rsidRPr="0093522F">
        <w:rPr>
          <w:lang w:bidi="ar-SA"/>
        </w:rPr>
        <w:t xml:space="preserve"> </w:t>
      </w:r>
      <w:r>
        <w:rPr>
          <w:lang w:bidi="ar-SA"/>
        </w:rPr>
        <w:t>P</w:t>
      </w:r>
      <w:r w:rsidRPr="0093522F">
        <w:rPr>
          <w:lang w:bidi="ar-SA"/>
        </w:rPr>
        <w:t xml:space="preserve">odařilo nastavit </w:t>
      </w:r>
      <w:r w:rsidRPr="007105E9">
        <w:rPr>
          <w:b/>
          <w:lang w:bidi="ar-SA"/>
        </w:rPr>
        <w:t>základní rámec</w:t>
      </w:r>
      <w:r w:rsidRPr="0093522F">
        <w:rPr>
          <w:lang w:bidi="ar-SA"/>
        </w:rPr>
        <w:t xml:space="preserve"> fungování RIS3 strategie v ČR a  </w:t>
      </w:r>
      <w:r w:rsidRPr="007105E9">
        <w:rPr>
          <w:b/>
          <w:lang w:bidi="ar-SA"/>
        </w:rPr>
        <w:t>položit základy</w:t>
      </w:r>
      <w:r w:rsidRPr="0093522F">
        <w:rPr>
          <w:lang w:bidi="ar-SA"/>
        </w:rPr>
        <w:t xml:space="preserve"> pro další rozvíjení EDP procesu.</w:t>
      </w:r>
      <w:r>
        <w:rPr>
          <w:lang w:bidi="ar-SA"/>
        </w:rPr>
        <w:t xml:space="preserve"> Lze konstatovat, že výsledkem tohoto úsilí je skutečnost, že ČR </w:t>
      </w:r>
      <w:r w:rsidRPr="008C431C">
        <w:rPr>
          <w:b/>
          <w:lang w:bidi="ar-SA"/>
        </w:rPr>
        <w:t>plně implementuje</w:t>
      </w:r>
      <w:r>
        <w:rPr>
          <w:lang w:bidi="ar-SA"/>
        </w:rPr>
        <w:t xml:space="preserve"> koncept RIS3 strategie. I přesto byla v rámci evaluace identifikována některá slabá místa. </w:t>
      </w:r>
      <w:r>
        <w:rPr>
          <w:rFonts w:asciiTheme="majorHAnsi" w:eastAsia="Geneva" w:hAnsiTheme="majorHAnsi"/>
          <w:bCs/>
          <w:iCs/>
        </w:rPr>
        <w:t xml:space="preserve">Záměrem této evaluace je upozornit na některé aspekty, které ovlivňují realizaci Národní RIS3 strategie a  jsou citlivě vnímány zainteresovanými stakeholdery. Cílem je  z dosavadních chyb a přijmout taková opatření, která budou ve svém důsledku přidanou hodnotou pro konkurenceschopné inovační prostředí v ČR v dalším období (2021+). Navrhovaná doporučení by měla být zohledněna při tvorbě Národní RIS3 strategie na období 2021+. Nicméně je potřeba zmínit, že některá navrhovaná doporučení jsou již patrná v aktualizaci Národní RIS3 strategie 2018 a budou průběžně zohledněna v dalším období. </w:t>
      </w:r>
    </w:p>
    <w:p w14:paraId="03AFB59C" w14:textId="77777777" w:rsidR="00FD2091" w:rsidRDefault="00FD2091">
      <w:pPr>
        <w:spacing w:before="0" w:after="0" w:line="240" w:lineRule="auto"/>
        <w:jc w:val="left"/>
        <w:rPr>
          <w:b/>
          <w:i/>
          <w:u w:val="single"/>
        </w:rPr>
      </w:pPr>
      <w:r>
        <w:rPr>
          <w:b/>
          <w:i/>
          <w:u w:val="single"/>
        </w:rPr>
        <w:br w:type="page"/>
      </w:r>
    </w:p>
    <w:p w14:paraId="269D3E89" w14:textId="03A247F8" w:rsidR="009715E8" w:rsidRPr="00B26657" w:rsidRDefault="009715E8" w:rsidP="009715E8">
      <w:pPr>
        <w:spacing w:before="0"/>
        <w:rPr>
          <w:b/>
          <w:i/>
          <w:u w:val="single"/>
        </w:rPr>
      </w:pPr>
      <w:r w:rsidRPr="00B26657">
        <w:rPr>
          <w:b/>
          <w:i/>
          <w:u w:val="single"/>
        </w:rPr>
        <w:lastRenderedPageBreak/>
        <w:t>Evaluační okruh I. – Ověření aktuálnosti zacílení Národní RIS3 strategie ve vztahu k vývoji vnějšího prostředí</w:t>
      </w:r>
    </w:p>
    <w:p w14:paraId="7974D22D" w14:textId="77777777" w:rsidR="009715E8" w:rsidRDefault="009715E8" w:rsidP="009715E8">
      <w:pPr>
        <w:spacing w:before="0"/>
        <w:rPr>
          <w:lang w:bidi="ar-SA"/>
        </w:rPr>
      </w:pPr>
      <w:r w:rsidRPr="0093522F">
        <w:rPr>
          <w:lang w:bidi="ar-SA"/>
        </w:rPr>
        <w:t>Z hlediska vývoje vnějšího prostředí v období od zpracování analýzy do současnosti lze konstatovat, že závěry formulované v jednotlivých problémových okruzích i navazující SWOT analýza jsou stále aktuální. Strategické i specifické cíle jsou dostatečně analyticky podloženy a jsou koherentní s dalšímu národními politikami. Lze proto konstatovat, že horizontální zacílení Národní RIS3 strategie je v souladu s aktuální situací a strategické a specifické cíle není potřeba do konce období platnosti strategie v roce 2020 měnit.</w:t>
      </w:r>
    </w:p>
    <w:p w14:paraId="11B00256" w14:textId="77777777" w:rsidR="009715E8" w:rsidRDefault="009715E8" w:rsidP="009715E8">
      <w:pPr>
        <w:spacing w:before="0"/>
        <w:rPr>
          <w:lang w:bidi="ar-SA"/>
        </w:rPr>
      </w:pPr>
      <w:r w:rsidRPr="0093522F">
        <w:rPr>
          <w:lang w:bidi="ar-SA"/>
        </w:rPr>
        <w:t xml:space="preserve">Národní RIS3 strategie by měla prostřednictvím procesu EDP napomoci ke stanovení </w:t>
      </w:r>
      <w:r w:rsidRPr="009B4D23">
        <w:rPr>
          <w:b/>
          <w:lang w:bidi="ar-SA"/>
        </w:rPr>
        <w:t>hlavních směrů</w:t>
      </w:r>
      <w:r w:rsidRPr="0093522F">
        <w:rPr>
          <w:lang w:bidi="ar-SA"/>
        </w:rPr>
        <w:t xml:space="preserve"> aplikovaného výzkumu ve střednědobém horizontu (výzkumná specializace) a dále identifikovat </w:t>
      </w:r>
      <w:r w:rsidRPr="009B4D23">
        <w:rPr>
          <w:b/>
          <w:lang w:bidi="ar-SA"/>
        </w:rPr>
        <w:t>skutečné příležitosti</w:t>
      </w:r>
      <w:r w:rsidRPr="0093522F">
        <w:rPr>
          <w:lang w:bidi="ar-SA"/>
        </w:rPr>
        <w:t xml:space="preserve"> uplatnit zboží a služby na trhu (ekonomická specializace), založené na inovacích a podložené vědeckovýzkumnými výsledky. Množství identifikovaných výzkumných témat</w:t>
      </w:r>
      <w:r>
        <w:rPr>
          <w:lang w:bidi="ar-SA"/>
        </w:rPr>
        <w:t>,</w:t>
      </w:r>
      <w:r w:rsidRPr="0093522F">
        <w:rPr>
          <w:lang w:bidi="ar-SA"/>
        </w:rPr>
        <w:t xml:space="preserve"> jdoucí napříč téměř všemi odvětvími národního hospodářství</w:t>
      </w:r>
      <w:r>
        <w:rPr>
          <w:lang w:bidi="ar-SA"/>
        </w:rPr>
        <w:t>,</w:t>
      </w:r>
      <w:r w:rsidRPr="0093522F">
        <w:rPr>
          <w:lang w:bidi="ar-SA"/>
        </w:rPr>
        <w:t xml:space="preserve"> </w:t>
      </w:r>
      <w:r>
        <w:rPr>
          <w:lang w:bidi="ar-SA"/>
        </w:rPr>
        <w:t xml:space="preserve">ukazuje, , že pro naplnění záměru „specializace“ je nutné koncept RIS3 strategie doplnit o systém vertikalizace ve smyslu užšího zacílení podpory. </w:t>
      </w:r>
    </w:p>
    <w:p w14:paraId="285645A1" w14:textId="77777777" w:rsidR="009715E8" w:rsidRDefault="009715E8" w:rsidP="009715E8">
      <w:pPr>
        <w:spacing w:before="0"/>
      </w:pPr>
    </w:p>
    <w:p w14:paraId="10BA07A9" w14:textId="77777777" w:rsidR="009715E8" w:rsidRPr="00B26657" w:rsidRDefault="009715E8" w:rsidP="009715E8">
      <w:pPr>
        <w:spacing w:before="0"/>
        <w:rPr>
          <w:b/>
          <w:i/>
          <w:u w:val="single"/>
        </w:rPr>
      </w:pPr>
      <w:r w:rsidRPr="00B26657">
        <w:rPr>
          <w:b/>
          <w:i/>
          <w:u w:val="single"/>
        </w:rPr>
        <w:t>Evaluační okruh II. – Zhodnocení pokroku při naplňování Národní RIS3 strategie prostřednictvím ESIF programů a národních programů podpory</w:t>
      </w:r>
    </w:p>
    <w:p w14:paraId="4BC48D86" w14:textId="77777777" w:rsidR="009715E8" w:rsidRDefault="009715E8" w:rsidP="009715E8">
      <w:pPr>
        <w:rPr>
          <w:rFonts w:eastAsia="Times New Roman" w:cs="Calibri"/>
          <w:color w:val="000000"/>
          <w:spacing w:val="-4"/>
          <w:lang w:eastAsia="cs-CZ" w:bidi="ar-SA"/>
        </w:rPr>
      </w:pPr>
      <w:r>
        <w:rPr>
          <w:rFonts w:eastAsia="Times New Roman" w:cs="Calibri"/>
          <w:color w:val="000000"/>
          <w:spacing w:val="-4"/>
          <w:lang w:eastAsia="cs-CZ" w:bidi="ar-SA"/>
        </w:rPr>
        <w:t xml:space="preserve">Hodnocení pokroku Národní RIS3 strategie probíhá v pravidelných intervalech. Na základě monitoringu dat (vždy k 31. 5. a 30. 10.) je každoročně k 30. 6. zpracována Zpráva o realizaci Národní RIS3 strategie. Cílem evaluace nebylo vyhodnocovat pokrok v naplňování strategie paralelně se Zprávou o realizaci, evaluace se spíše zaměřila na procesní stránku věci.  </w:t>
      </w:r>
    </w:p>
    <w:p w14:paraId="4E76312F" w14:textId="2A8219BC" w:rsidR="009715E8" w:rsidRDefault="009715E8" w:rsidP="009715E8">
      <w:pPr>
        <w:rPr>
          <w:rFonts w:eastAsia="Times New Roman" w:cs="Calibri"/>
          <w:b/>
          <w:color w:val="000000"/>
          <w:spacing w:val="-4"/>
          <w:lang w:eastAsia="cs-CZ" w:bidi="ar-SA"/>
        </w:rPr>
      </w:pPr>
      <w:r>
        <w:rPr>
          <w:rFonts w:eastAsia="Times New Roman" w:cs="Calibri"/>
          <w:color w:val="000000"/>
          <w:spacing w:val="-4"/>
          <w:lang w:eastAsia="cs-CZ" w:bidi="ar-SA"/>
        </w:rPr>
        <w:t>S ohledem na pozdější nastavení implementace Národní RIS3 strategie oproti operačním programům v</w:t>
      </w:r>
      <w:r w:rsidR="00FD2091">
        <w:rPr>
          <w:rFonts w:eastAsia="Times New Roman" w:cs="Calibri"/>
          <w:color w:val="000000"/>
          <w:spacing w:val="-4"/>
          <w:lang w:eastAsia="cs-CZ" w:bidi="ar-SA"/>
        </w:rPr>
        <w:t> </w:t>
      </w:r>
      <w:r>
        <w:rPr>
          <w:rFonts w:eastAsia="Times New Roman" w:cs="Calibri"/>
          <w:color w:val="000000"/>
          <w:spacing w:val="-4"/>
          <w:lang w:eastAsia="cs-CZ" w:bidi="ar-SA"/>
        </w:rPr>
        <w:t>období 2014-2020, současné nastavení monitoringu operačních programů a národních programů podpory nevyhovuje potřebám Národní RIS3 strategie. S</w:t>
      </w:r>
      <w:r w:rsidRPr="00696D31">
        <w:rPr>
          <w:rFonts w:eastAsia="Times New Roman" w:cs="Calibri"/>
          <w:color w:val="000000"/>
          <w:spacing w:val="-4"/>
          <w:lang w:eastAsia="cs-CZ" w:bidi="ar-SA"/>
        </w:rPr>
        <w:t xml:space="preserve">jednocení monitorovacích dat do jednoho zdroje probíhá v rámci Oddělení strategie S3 (MPO) a je předmětem </w:t>
      </w:r>
      <w:r w:rsidRPr="002401D9">
        <w:rPr>
          <w:rFonts w:eastAsia="Times New Roman" w:cs="Calibri"/>
          <w:color w:val="000000"/>
          <w:spacing w:val="-4"/>
          <w:lang w:eastAsia="cs-CZ" w:bidi="ar-SA"/>
        </w:rPr>
        <w:t>dlouhodobé práce</w:t>
      </w:r>
      <w:r w:rsidRPr="00696D31">
        <w:rPr>
          <w:rFonts w:eastAsia="Times New Roman" w:cs="Calibri"/>
          <w:color w:val="000000"/>
          <w:spacing w:val="-4"/>
          <w:lang w:eastAsia="cs-CZ" w:bidi="ar-SA"/>
        </w:rPr>
        <w:t xml:space="preserve"> na vhodném metodickém přístupu, který by umožnil efektivní průběžné hodnocení a evaluaci Národní RIS3 strategie.</w:t>
      </w:r>
    </w:p>
    <w:p w14:paraId="2749BA4F" w14:textId="77777777" w:rsidR="009715E8" w:rsidRPr="00696D31" w:rsidRDefault="009715E8" w:rsidP="009715E8">
      <w:pPr>
        <w:rPr>
          <w:rFonts w:cs="Calibri"/>
          <w:b/>
          <w:lang w:bidi="ar-SA"/>
        </w:rPr>
      </w:pPr>
      <w:r>
        <w:rPr>
          <w:rFonts w:eastAsia="Times New Roman" w:cs="Calibri"/>
          <w:color w:val="000000"/>
          <w:spacing w:val="-4"/>
          <w:lang w:eastAsia="cs-CZ" w:bidi="ar-SA"/>
        </w:rPr>
        <w:t>P</w:t>
      </w:r>
      <w:r w:rsidRPr="00696D31">
        <w:rPr>
          <w:rFonts w:eastAsia="Times New Roman" w:cs="Calibri"/>
          <w:color w:val="000000"/>
          <w:spacing w:val="-4"/>
          <w:lang w:eastAsia="cs-CZ" w:bidi="ar-SA"/>
        </w:rPr>
        <w:t xml:space="preserve">řehled o finančních tocích je relativně </w:t>
      </w:r>
      <w:r w:rsidRPr="002401D9">
        <w:rPr>
          <w:rFonts w:eastAsia="Times New Roman" w:cs="Calibri"/>
          <w:color w:val="000000"/>
          <w:spacing w:val="-4"/>
          <w:lang w:eastAsia="cs-CZ" w:bidi="ar-SA"/>
        </w:rPr>
        <w:t>dobrý</w:t>
      </w:r>
      <w:r>
        <w:rPr>
          <w:rFonts w:eastAsia="Times New Roman" w:cs="Calibri"/>
          <w:color w:val="000000"/>
          <w:spacing w:val="-4"/>
          <w:lang w:eastAsia="cs-CZ" w:bidi="ar-SA"/>
        </w:rPr>
        <w:t>, ne z</w:t>
      </w:r>
      <w:r w:rsidRPr="00696D31">
        <w:rPr>
          <w:rFonts w:eastAsia="Times New Roman" w:cs="Calibri"/>
          <w:color w:val="000000"/>
          <w:spacing w:val="-4"/>
          <w:lang w:eastAsia="cs-CZ" w:bidi="ar-SA"/>
        </w:rPr>
        <w:t xml:space="preserve">cela </w:t>
      </w:r>
      <w:r w:rsidRPr="00CA162A">
        <w:rPr>
          <w:rFonts w:eastAsia="Times New Roman" w:cs="Calibri"/>
          <w:color w:val="000000"/>
          <w:spacing w:val="-4"/>
          <w:lang w:eastAsia="cs-CZ" w:bidi="ar-SA"/>
        </w:rPr>
        <w:t>optimálně</w:t>
      </w:r>
      <w:r w:rsidRPr="00696D31">
        <w:rPr>
          <w:rFonts w:eastAsia="Times New Roman" w:cs="Calibri"/>
          <w:color w:val="000000"/>
          <w:spacing w:val="-4"/>
          <w:lang w:eastAsia="cs-CZ" w:bidi="ar-SA"/>
        </w:rPr>
        <w:t xml:space="preserve"> jsou </w:t>
      </w:r>
      <w:r>
        <w:rPr>
          <w:rFonts w:eastAsia="Times New Roman" w:cs="Calibri"/>
          <w:color w:val="000000"/>
          <w:spacing w:val="-4"/>
          <w:lang w:eastAsia="cs-CZ" w:bidi="ar-SA"/>
        </w:rPr>
        <w:t xml:space="preserve">však </w:t>
      </w:r>
      <w:r w:rsidRPr="00696D31">
        <w:rPr>
          <w:rFonts w:eastAsia="Times New Roman" w:cs="Calibri"/>
          <w:color w:val="000000"/>
          <w:spacing w:val="-4"/>
          <w:lang w:eastAsia="cs-CZ" w:bidi="ar-SA"/>
        </w:rPr>
        <w:t>monitorovány věcné parametry podpory</w:t>
      </w:r>
      <w:r>
        <w:rPr>
          <w:rFonts w:eastAsia="Times New Roman" w:cs="Calibri"/>
          <w:color w:val="000000"/>
          <w:spacing w:val="-4"/>
          <w:lang w:eastAsia="cs-CZ" w:bidi="ar-SA"/>
        </w:rPr>
        <w:t xml:space="preserve">. Ani jeden z </w:t>
      </w:r>
      <w:r w:rsidRPr="00696D31">
        <w:rPr>
          <w:rFonts w:cs="Calibri"/>
          <w:lang w:bidi="ar-SA"/>
        </w:rPr>
        <w:t xml:space="preserve">monitorovacích systémů (MS2014+, IS VaVaI) </w:t>
      </w:r>
      <w:r w:rsidRPr="00CA162A">
        <w:rPr>
          <w:rFonts w:cs="Calibri"/>
          <w:lang w:bidi="ar-SA"/>
        </w:rPr>
        <w:t>nesleduje</w:t>
      </w:r>
      <w:r w:rsidRPr="00696D31">
        <w:rPr>
          <w:rFonts w:cs="Calibri"/>
          <w:lang w:bidi="ar-SA"/>
        </w:rPr>
        <w:t xml:space="preserve"> u podpořených projektů, z jaké znalostní domény poznatky využívá, s jakou intenzitou a jaké efekty jejich přenos do aplikační praxe přináší.</w:t>
      </w:r>
      <w:r>
        <w:rPr>
          <w:rFonts w:cs="Calibri"/>
          <w:lang w:bidi="ar-SA"/>
        </w:rPr>
        <w:t xml:space="preserve"> To souvisí s již zmiňovaným časovým posunem realizace Národní RIS3 strategie oproti operačním programům a národním programům podpory, kdy tyto monitorovací systémy nebyly primárně určeny pro sledování souladu s RIS3 strategií.</w:t>
      </w:r>
    </w:p>
    <w:p w14:paraId="527D2132" w14:textId="77777777" w:rsidR="009715E8" w:rsidRDefault="009715E8" w:rsidP="009715E8">
      <w:r w:rsidRPr="00696D31">
        <w:rPr>
          <w:rFonts w:cs="Calibri"/>
          <w:lang w:bidi="ar-SA"/>
        </w:rPr>
        <w:t xml:space="preserve">Kvalitativní analýzu přínosů jednotlivých operačních programů k realizaci Národní RIS3 strategie nelze provést </w:t>
      </w:r>
      <w:r>
        <w:rPr>
          <w:rFonts w:cs="Calibri"/>
          <w:lang w:bidi="ar-SA"/>
        </w:rPr>
        <w:t xml:space="preserve">v dostatečném rozsahu </w:t>
      </w:r>
      <w:r w:rsidRPr="00696D31">
        <w:rPr>
          <w:rFonts w:cs="Calibri"/>
          <w:lang w:bidi="ar-SA"/>
        </w:rPr>
        <w:t xml:space="preserve">pro </w:t>
      </w:r>
      <w:r w:rsidRPr="0046181E">
        <w:rPr>
          <w:rFonts w:cs="Calibri"/>
          <w:b/>
          <w:lang w:bidi="ar-SA"/>
        </w:rPr>
        <w:t>omezenou dostupnost detailních dat</w:t>
      </w:r>
      <w:r w:rsidRPr="00696D31">
        <w:rPr>
          <w:rFonts w:cs="Calibri"/>
          <w:lang w:bidi="ar-SA"/>
        </w:rPr>
        <w:t xml:space="preserve"> o konkrétních projektech (přesné zacílení, </w:t>
      </w:r>
      <w:r w:rsidRPr="0046181E">
        <w:rPr>
          <w:rFonts w:cs="Calibri"/>
          <w:b/>
          <w:lang w:bidi="ar-SA"/>
        </w:rPr>
        <w:t>příslušnost ke znalostní doméně a průnik aplikačního odvětví</w:t>
      </w:r>
      <w:r w:rsidRPr="00696D31">
        <w:rPr>
          <w:rFonts w:cs="Calibri"/>
          <w:lang w:bidi="ar-SA"/>
        </w:rPr>
        <w:t xml:space="preserve">). Zástupcům analytického týmu </w:t>
      </w:r>
      <w:r w:rsidRPr="0046181E">
        <w:rPr>
          <w:rFonts w:cs="Calibri"/>
          <w:b/>
          <w:lang w:bidi="ar-SA"/>
        </w:rPr>
        <w:t>není zpřístupněn MS2014+</w:t>
      </w:r>
      <w:r>
        <w:rPr>
          <w:rFonts w:cs="Calibri"/>
          <w:b/>
          <w:lang w:bidi="ar-SA"/>
        </w:rPr>
        <w:t xml:space="preserve"> v dostatečném rozsahu</w:t>
      </w:r>
      <w:r w:rsidRPr="0046181E">
        <w:rPr>
          <w:rFonts w:cs="Calibri"/>
          <w:b/>
          <w:lang w:bidi="ar-SA"/>
        </w:rPr>
        <w:t>.</w:t>
      </w:r>
      <w:r>
        <w:rPr>
          <w:rFonts w:cs="Calibri"/>
          <w:b/>
          <w:lang w:bidi="ar-SA"/>
        </w:rPr>
        <w:t xml:space="preserve"> </w:t>
      </w:r>
      <w:r>
        <w:rPr>
          <w:rFonts w:cs="Calibri"/>
          <w:lang w:bidi="ar-SA"/>
        </w:rPr>
        <w:t xml:space="preserve">Pro příští programové období bude proto nezbytné, umožnit členům analytického týmu Národní RIS3 </w:t>
      </w:r>
      <w:r>
        <w:rPr>
          <w:rFonts w:cs="Calibri"/>
          <w:lang w:bidi="ar-SA"/>
        </w:rPr>
        <w:lastRenderedPageBreak/>
        <w:t xml:space="preserve">strategie aktivně se podílet na přípravě indikátorové soustavy pro nové programovací období pod koordinací MMR-NOK, aby bylo dosaženo efektivního monitoringu Národní RIS3 strategie. </w:t>
      </w:r>
    </w:p>
    <w:p w14:paraId="256F535B" w14:textId="77777777" w:rsidR="009715E8" w:rsidRPr="0046181E" w:rsidRDefault="009715E8" w:rsidP="009715E8">
      <w:pPr>
        <w:spacing w:before="0"/>
        <w:rPr>
          <w:b/>
          <w:i/>
          <w:u w:val="single"/>
        </w:rPr>
      </w:pPr>
      <w:r w:rsidRPr="0046181E">
        <w:rPr>
          <w:b/>
          <w:i/>
          <w:u w:val="single"/>
        </w:rPr>
        <w:t>Evaluační okruh III. – Naplňování krajských RIS3 strategií</w:t>
      </w:r>
    </w:p>
    <w:p w14:paraId="3ADD9BE2" w14:textId="77777777" w:rsidR="009715E8" w:rsidRDefault="009715E8" w:rsidP="009715E8">
      <w:pPr>
        <w:rPr>
          <w:lang w:bidi="ar-SA"/>
        </w:rPr>
      </w:pPr>
      <w:r>
        <w:rPr>
          <w:lang w:bidi="ar-SA"/>
        </w:rPr>
        <w:t xml:space="preserve">Všechny kraje se aktivně zapojily do realizace RIS3 strategie, a to prostřednictvím svých krajských RIS3 příloh. Organizační zajištění implementace RIS3 strategie je zajišťováno v rámci Krajské rady pro inovace, krajských inovačních platforem a krajského RIS3 manažera a RIS3 koordinátora. V jednotlivých krajích jsou patrné určité modifikace tohoto uspořádání a to v závislosti na historickém kontextu rozvoje inovačního potenciálu v daném kraji. Na budování kapacit, organizačních struktur a know-how pro rozvoj VaVaI a EDP mohou kraje využívat financování z OP VVV z výzvy Smart Akcelerátor.  </w:t>
      </w:r>
    </w:p>
    <w:p w14:paraId="62B1EE10" w14:textId="77777777" w:rsidR="009715E8" w:rsidRDefault="009715E8" w:rsidP="009715E8">
      <w:pPr>
        <w:spacing w:before="0"/>
      </w:pPr>
      <w:r>
        <w:rPr>
          <w:lang w:bidi="ar-SA"/>
        </w:rPr>
        <w:t xml:space="preserve">Stejně jako národní úroveň, i ta krajská vnímá </w:t>
      </w:r>
      <w:r w:rsidRPr="00EB7268">
        <w:rPr>
          <w:b/>
          <w:lang w:bidi="ar-SA"/>
        </w:rPr>
        <w:t>slabé stránky</w:t>
      </w:r>
      <w:r>
        <w:rPr>
          <w:lang w:bidi="ar-SA"/>
        </w:rPr>
        <w:t xml:space="preserve">, které jsou s realizací RIS3 strategie spojeny. Jedná se zejména o </w:t>
      </w:r>
      <w:r w:rsidRPr="00EB7268">
        <w:rPr>
          <w:b/>
          <w:lang w:bidi="ar-SA"/>
        </w:rPr>
        <w:t>nedostatečnou politickou podporu</w:t>
      </w:r>
      <w:r>
        <w:rPr>
          <w:lang w:bidi="ar-SA"/>
        </w:rPr>
        <w:t xml:space="preserve"> konceptu RIS3 strategií a ne vždy zcela </w:t>
      </w:r>
      <w:r w:rsidRPr="00EB7268">
        <w:rPr>
          <w:b/>
          <w:lang w:bidi="ar-SA"/>
        </w:rPr>
        <w:t>jasnou viz</w:t>
      </w:r>
      <w:r>
        <w:rPr>
          <w:b/>
          <w:lang w:bidi="ar-SA"/>
        </w:rPr>
        <w:t>í</w:t>
      </w:r>
      <w:r>
        <w:rPr>
          <w:lang w:bidi="ar-SA"/>
        </w:rPr>
        <w:t xml:space="preserve"> strategie, což se odráží </w:t>
      </w:r>
      <w:r w:rsidRPr="00EB7268">
        <w:rPr>
          <w:b/>
          <w:lang w:bidi="ar-SA"/>
        </w:rPr>
        <w:t>v nezájmu</w:t>
      </w:r>
      <w:r>
        <w:rPr>
          <w:lang w:bidi="ar-SA"/>
        </w:rPr>
        <w:t xml:space="preserve"> potencionálních stakeholderů o zapojení do EDP procesu. </w:t>
      </w:r>
      <w:r w:rsidRPr="008C431C">
        <w:rPr>
          <w:b/>
          <w:lang w:bidi="ar-SA"/>
        </w:rPr>
        <w:t>Zvýšení koordinace</w:t>
      </w:r>
      <w:r>
        <w:rPr>
          <w:lang w:bidi="ar-SA"/>
        </w:rPr>
        <w:t xml:space="preserve"> mezi národní a krajskou úrovní,</w:t>
      </w:r>
      <w:r w:rsidRPr="00960F03">
        <w:rPr>
          <w:lang w:bidi="ar-SA"/>
        </w:rPr>
        <w:t xml:space="preserve"> </w:t>
      </w:r>
      <w:r>
        <w:rPr>
          <w:lang w:bidi="ar-SA"/>
        </w:rPr>
        <w:t xml:space="preserve">ale také uvnitř jednotlivých krajů a </w:t>
      </w:r>
      <w:r w:rsidRPr="008C431C">
        <w:rPr>
          <w:b/>
          <w:lang w:bidi="ar-SA"/>
        </w:rPr>
        <w:t xml:space="preserve">vyjasnění mechanizmu </w:t>
      </w:r>
      <w:r>
        <w:rPr>
          <w:b/>
          <w:lang w:bidi="ar-SA"/>
        </w:rPr>
        <w:t>sdílení</w:t>
      </w:r>
      <w:r w:rsidRPr="008C431C">
        <w:rPr>
          <w:b/>
          <w:lang w:bidi="ar-SA"/>
        </w:rPr>
        <w:t xml:space="preserve"> výsledků EDP</w:t>
      </w:r>
      <w:r>
        <w:rPr>
          <w:lang w:bidi="ar-SA"/>
        </w:rPr>
        <w:t xml:space="preserve"> procesu přispěje k lepšímu promítnutí těchto výsledků do politik a dotačních programů.  </w:t>
      </w:r>
    </w:p>
    <w:p w14:paraId="5F06C828" w14:textId="77777777" w:rsidR="009715E8" w:rsidRPr="0046181E" w:rsidRDefault="009715E8" w:rsidP="009715E8">
      <w:pPr>
        <w:spacing w:before="0"/>
        <w:rPr>
          <w:b/>
          <w:i/>
          <w:u w:val="single"/>
        </w:rPr>
      </w:pPr>
      <w:r w:rsidRPr="0046181E">
        <w:rPr>
          <w:b/>
          <w:i/>
          <w:u w:val="single"/>
        </w:rPr>
        <w:t xml:space="preserve">Evaluační okruh IV. – Vyhodnocení fungování systému implementace Národní RIS3 strategie </w:t>
      </w:r>
    </w:p>
    <w:p w14:paraId="22399966" w14:textId="09AAAA40" w:rsidR="009715E8" w:rsidRDefault="009715E8" w:rsidP="009715E8">
      <w:pPr>
        <w:suppressAutoHyphens/>
        <w:autoSpaceDE w:val="0"/>
        <w:spacing w:after="120"/>
        <w:rPr>
          <w:rFonts w:asciiTheme="majorHAnsi" w:eastAsia="Geneva" w:hAnsiTheme="majorHAnsi"/>
          <w:bCs/>
          <w:iCs/>
        </w:rPr>
      </w:pPr>
      <w:r>
        <w:rPr>
          <w:rFonts w:asciiTheme="majorHAnsi" w:eastAsia="Geneva" w:hAnsiTheme="majorHAnsi"/>
          <w:bCs/>
          <w:iCs/>
        </w:rPr>
        <w:t xml:space="preserve">Implementační struktura Národní RIS3 strategie je nastavena a je plně </w:t>
      </w:r>
      <w:r w:rsidRPr="00040813">
        <w:rPr>
          <w:rFonts w:asciiTheme="majorHAnsi" w:eastAsia="Geneva" w:hAnsiTheme="majorHAnsi"/>
          <w:b/>
          <w:bCs/>
          <w:iCs/>
        </w:rPr>
        <w:t>funkční</w:t>
      </w:r>
      <w:r>
        <w:rPr>
          <w:rFonts w:asciiTheme="majorHAnsi" w:eastAsia="Geneva" w:hAnsiTheme="majorHAnsi"/>
          <w:bCs/>
          <w:iCs/>
        </w:rPr>
        <w:t xml:space="preserve">, avšak s mnoha </w:t>
      </w:r>
      <w:r w:rsidRPr="00040813">
        <w:rPr>
          <w:rFonts w:asciiTheme="majorHAnsi" w:eastAsia="Geneva" w:hAnsiTheme="majorHAnsi"/>
          <w:b/>
          <w:bCs/>
          <w:iCs/>
        </w:rPr>
        <w:t>dílčími výhradami</w:t>
      </w:r>
      <w:r>
        <w:rPr>
          <w:rFonts w:asciiTheme="majorHAnsi" w:eastAsia="Geneva" w:hAnsiTheme="majorHAnsi"/>
          <w:bCs/>
          <w:iCs/>
        </w:rPr>
        <w:t xml:space="preserve">. Organizační ukotvení strategie, s ohledem na její nadrezortní charakter </w:t>
      </w:r>
      <w:r w:rsidRPr="008C431C">
        <w:rPr>
          <w:rFonts w:asciiTheme="majorHAnsi" w:eastAsia="Geneva" w:hAnsiTheme="majorHAnsi"/>
          <w:bCs/>
          <w:iCs/>
        </w:rPr>
        <w:t>a</w:t>
      </w:r>
      <w:r w:rsidR="00FD2091">
        <w:rPr>
          <w:rFonts w:asciiTheme="majorHAnsi" w:eastAsia="Geneva" w:hAnsiTheme="majorHAnsi"/>
          <w:bCs/>
          <w:iCs/>
        </w:rPr>
        <w:t> </w:t>
      </w:r>
      <w:r w:rsidRPr="008C431C">
        <w:rPr>
          <w:rFonts w:asciiTheme="majorHAnsi" w:eastAsia="Geneva" w:hAnsiTheme="majorHAnsi"/>
          <w:bCs/>
          <w:iCs/>
        </w:rPr>
        <w:t xml:space="preserve">prolínání </w:t>
      </w:r>
      <w:r>
        <w:rPr>
          <w:rFonts w:asciiTheme="majorHAnsi" w:eastAsia="Geneva" w:hAnsiTheme="majorHAnsi"/>
          <w:bCs/>
          <w:iCs/>
        </w:rPr>
        <w:t xml:space="preserve">Národní RIS3 strategie napříč mnoha ministerstvy, si vyžaduje </w:t>
      </w:r>
      <w:r w:rsidRPr="008C431C">
        <w:rPr>
          <w:rFonts w:asciiTheme="majorHAnsi" w:eastAsia="Geneva" w:hAnsiTheme="majorHAnsi"/>
          <w:b/>
          <w:bCs/>
          <w:iCs/>
        </w:rPr>
        <w:t>vysokou podporu vlády</w:t>
      </w:r>
      <w:r>
        <w:rPr>
          <w:rFonts w:asciiTheme="majorHAnsi" w:eastAsia="Geneva" w:hAnsiTheme="majorHAnsi"/>
          <w:bCs/>
          <w:iCs/>
        </w:rPr>
        <w:t xml:space="preserve">. </w:t>
      </w:r>
    </w:p>
    <w:p w14:paraId="16BEA2FE" w14:textId="77777777" w:rsidR="009715E8" w:rsidRDefault="009715E8" w:rsidP="009715E8">
      <w:pPr>
        <w:suppressAutoHyphens/>
        <w:autoSpaceDE w:val="0"/>
        <w:spacing w:after="120"/>
        <w:rPr>
          <w:lang w:bidi="ar-SA"/>
        </w:rPr>
      </w:pPr>
      <w:r>
        <w:rPr>
          <w:lang w:bidi="ar-SA"/>
        </w:rPr>
        <w:t xml:space="preserve">Analytický tým (Oddělení strategie S3 spolu s Národním RIS3 manažerem) se potýká s výraznou personální poddimenzovaností ve vztahu k rozsahu RIS3 agendy. To představuje riziko pro systematické </w:t>
      </w:r>
      <w:r w:rsidRPr="00B704CA">
        <w:rPr>
          <w:b/>
          <w:lang w:bidi="ar-SA"/>
        </w:rPr>
        <w:t>koncepční a</w:t>
      </w:r>
      <w:r>
        <w:rPr>
          <w:lang w:bidi="ar-SA"/>
        </w:rPr>
        <w:t xml:space="preserve"> </w:t>
      </w:r>
      <w:r w:rsidRPr="007404D9">
        <w:rPr>
          <w:b/>
          <w:lang w:bidi="ar-SA"/>
        </w:rPr>
        <w:t>metodické vedení</w:t>
      </w:r>
      <w:r>
        <w:rPr>
          <w:b/>
          <w:lang w:bidi="ar-SA"/>
        </w:rPr>
        <w:t xml:space="preserve">, </w:t>
      </w:r>
      <w:r w:rsidRPr="006323C4">
        <w:rPr>
          <w:lang w:bidi="ar-SA"/>
        </w:rPr>
        <w:t xml:space="preserve">které je </w:t>
      </w:r>
      <w:r w:rsidRPr="008C431C">
        <w:rPr>
          <w:b/>
          <w:lang w:bidi="ar-SA"/>
        </w:rPr>
        <w:t>časově a odborně náročné</w:t>
      </w:r>
      <w:r w:rsidRPr="006323C4">
        <w:rPr>
          <w:lang w:bidi="ar-SA"/>
        </w:rPr>
        <w:t xml:space="preserve"> a</w:t>
      </w:r>
      <w:r>
        <w:rPr>
          <w:b/>
          <w:lang w:bidi="ar-SA"/>
        </w:rPr>
        <w:t xml:space="preserve"> </w:t>
      </w:r>
      <w:r>
        <w:rPr>
          <w:lang w:bidi="ar-SA"/>
        </w:rPr>
        <w:t>pro plnění aktuálních povinností</w:t>
      </w:r>
      <w:r w:rsidRPr="006323C4">
        <w:rPr>
          <w:lang w:bidi="ar-SA"/>
        </w:rPr>
        <w:t xml:space="preserve"> </w:t>
      </w:r>
      <w:r>
        <w:rPr>
          <w:lang w:bidi="ar-SA"/>
        </w:rPr>
        <w:t xml:space="preserve">může být odsouváno do pozadí. </w:t>
      </w:r>
      <w:r w:rsidRPr="001F66C2">
        <w:rPr>
          <w:lang w:bidi="ar-SA"/>
        </w:rPr>
        <w:t xml:space="preserve">Personálním </w:t>
      </w:r>
      <w:r>
        <w:rPr>
          <w:lang w:bidi="ar-SA"/>
        </w:rPr>
        <w:t>posílením analytického týmu by byla, jak ve vztahu k nositelům dotačních programů, tak ve vztahu ke krajům, dosažena požadovaná míra metodického vedení,</w:t>
      </w:r>
      <w:r w:rsidRPr="001F66C2">
        <w:rPr>
          <w:lang w:bidi="ar-SA"/>
        </w:rPr>
        <w:t xml:space="preserve"> </w:t>
      </w:r>
      <w:r>
        <w:rPr>
          <w:lang w:bidi="ar-SA"/>
        </w:rPr>
        <w:t xml:space="preserve">které je za aktuální situace jednou ze </w:t>
      </w:r>
      <w:r w:rsidRPr="00040813">
        <w:rPr>
          <w:b/>
          <w:lang w:bidi="ar-SA"/>
        </w:rPr>
        <w:t>slab</w:t>
      </w:r>
      <w:r>
        <w:rPr>
          <w:b/>
          <w:lang w:bidi="ar-SA"/>
        </w:rPr>
        <w:t>ších</w:t>
      </w:r>
      <w:r w:rsidRPr="00040813">
        <w:rPr>
          <w:b/>
          <w:lang w:bidi="ar-SA"/>
        </w:rPr>
        <w:t xml:space="preserve"> stránek</w:t>
      </w:r>
      <w:r>
        <w:rPr>
          <w:lang w:bidi="ar-SA"/>
        </w:rPr>
        <w:t xml:space="preserve"> realizace Národní RIS3 strategie. </w:t>
      </w:r>
    </w:p>
    <w:p w14:paraId="2A7FA1F2" w14:textId="77777777" w:rsidR="009715E8" w:rsidRDefault="009715E8" w:rsidP="009715E8">
      <w:pPr>
        <w:suppressAutoHyphens/>
        <w:autoSpaceDE w:val="0"/>
        <w:spacing w:after="120"/>
        <w:rPr>
          <w:bCs/>
          <w:szCs w:val="22"/>
        </w:rPr>
      </w:pPr>
      <w:r>
        <w:rPr>
          <w:bCs/>
          <w:szCs w:val="22"/>
        </w:rPr>
        <w:t xml:space="preserve">EDP proces patří mezi klíčové principy realizace RIS3 strategie a jeho zefektivnění je jedním z cílů pro další období. </w:t>
      </w:r>
    </w:p>
    <w:p w14:paraId="7D74992D" w14:textId="77777777" w:rsidR="009715E8" w:rsidRDefault="009715E8" w:rsidP="009715E8">
      <w:pPr>
        <w:suppressAutoHyphens/>
        <w:autoSpaceDE w:val="0"/>
        <w:spacing w:after="120"/>
        <w:rPr>
          <w:lang w:bidi="ar-SA"/>
        </w:rPr>
      </w:pPr>
      <w:r>
        <w:rPr>
          <w:bCs/>
          <w:szCs w:val="22"/>
        </w:rPr>
        <w:t xml:space="preserve">Vzhledem k postavení a nízké motivaci členů NIP (členům není poskytována finanční odměna za jejich činnost), </w:t>
      </w:r>
      <w:r>
        <w:rPr>
          <w:lang w:bidi="ar-SA"/>
        </w:rPr>
        <w:t xml:space="preserve">není zcela </w:t>
      </w:r>
      <w:r w:rsidRPr="0004366A">
        <w:rPr>
          <w:b/>
          <w:lang w:bidi="ar-SA"/>
        </w:rPr>
        <w:t>dostatečn</w:t>
      </w:r>
      <w:r>
        <w:rPr>
          <w:b/>
          <w:lang w:bidi="ar-SA"/>
        </w:rPr>
        <w:t>ě</w:t>
      </w:r>
      <w:r w:rsidRPr="0004366A">
        <w:rPr>
          <w:b/>
          <w:lang w:bidi="ar-SA"/>
        </w:rPr>
        <w:t xml:space="preserve"> využíván potenciál NIP</w:t>
      </w:r>
      <w:r>
        <w:rPr>
          <w:b/>
          <w:lang w:bidi="ar-SA"/>
        </w:rPr>
        <w:t>. P</w:t>
      </w:r>
      <w:r w:rsidRPr="0004366A">
        <w:rPr>
          <w:b/>
          <w:lang w:bidi="ar-SA"/>
        </w:rPr>
        <w:t>řenos impulsů vzešlých z činnosti NIP na řídicí úroveň</w:t>
      </w:r>
      <w:r>
        <w:rPr>
          <w:b/>
          <w:lang w:bidi="ar-SA"/>
        </w:rPr>
        <w:t xml:space="preserve"> je omezený </w:t>
      </w:r>
      <w:r w:rsidRPr="00CD18CC">
        <w:rPr>
          <w:lang w:bidi="ar-SA"/>
        </w:rPr>
        <w:t xml:space="preserve">a </w:t>
      </w:r>
      <w:r w:rsidRPr="00D2500D">
        <w:rPr>
          <w:lang w:bidi="ar-SA"/>
        </w:rPr>
        <w:t>činnosti NIP se v minulosti vyznačovaly</w:t>
      </w:r>
      <w:r>
        <w:rPr>
          <w:b/>
          <w:lang w:bidi="ar-SA"/>
        </w:rPr>
        <w:t xml:space="preserve"> nesystematickým přístupem</w:t>
      </w:r>
      <w:r>
        <w:rPr>
          <w:lang w:bidi="ar-SA"/>
        </w:rPr>
        <w:t>.</w:t>
      </w:r>
      <w:r w:rsidRPr="001F66C2">
        <w:rPr>
          <w:lang w:bidi="ar-SA"/>
        </w:rPr>
        <w:t xml:space="preserve"> </w:t>
      </w:r>
      <w:r>
        <w:rPr>
          <w:lang w:bidi="ar-SA"/>
        </w:rPr>
        <w:t xml:space="preserve">To souvisí  se </w:t>
      </w:r>
      <w:r w:rsidRPr="0004366A">
        <w:rPr>
          <w:b/>
          <w:lang w:bidi="ar-SA"/>
        </w:rPr>
        <w:t>ztrát</w:t>
      </w:r>
      <w:r>
        <w:rPr>
          <w:b/>
          <w:lang w:bidi="ar-SA"/>
        </w:rPr>
        <w:t>ou</w:t>
      </w:r>
      <w:r w:rsidRPr="0004366A">
        <w:rPr>
          <w:b/>
          <w:lang w:bidi="ar-SA"/>
        </w:rPr>
        <w:t xml:space="preserve"> důvěry ve smysluplnost</w:t>
      </w:r>
      <w:r>
        <w:rPr>
          <w:lang w:bidi="ar-SA"/>
        </w:rPr>
        <w:t xml:space="preserve"> těchto struktur a účasti stakeholderů,</w:t>
      </w:r>
      <w:r w:rsidRPr="001F66C2">
        <w:rPr>
          <w:lang w:bidi="ar-SA"/>
        </w:rPr>
        <w:t xml:space="preserve"> </w:t>
      </w:r>
      <w:r>
        <w:rPr>
          <w:lang w:bidi="ar-SA"/>
        </w:rPr>
        <w:t xml:space="preserve">zejména na straně podnikatelského sektoru. </w:t>
      </w:r>
      <w:r>
        <w:rPr>
          <w:bCs/>
          <w:szCs w:val="22"/>
        </w:rPr>
        <w:t xml:space="preserve">Realizace EDP procesu prostřednictvím NIP se vyznačuje nižší mírou použitelnosti výstupů vzešlých z tohoto procesu, neboť </w:t>
      </w:r>
      <w:r w:rsidRPr="00876304">
        <w:rPr>
          <w:rFonts w:asciiTheme="majorHAnsi" w:eastAsia="Geneva" w:hAnsiTheme="majorHAnsi"/>
          <w:bCs/>
          <w:iCs/>
        </w:rPr>
        <w:t xml:space="preserve">témata VaVaI identifikována prostřednictvím EDP jsou formulována </w:t>
      </w:r>
      <w:r>
        <w:rPr>
          <w:rFonts w:asciiTheme="majorHAnsi" w:eastAsia="Geneva" w:hAnsiTheme="majorHAnsi"/>
          <w:bCs/>
          <w:iCs/>
        </w:rPr>
        <w:t xml:space="preserve">značně </w:t>
      </w:r>
      <w:r w:rsidRPr="00617CA9">
        <w:rPr>
          <w:rFonts w:asciiTheme="majorHAnsi" w:eastAsia="Geneva" w:hAnsiTheme="majorHAnsi"/>
          <w:b/>
          <w:bCs/>
          <w:iCs/>
        </w:rPr>
        <w:t>obecně a široce</w:t>
      </w:r>
      <w:r>
        <w:rPr>
          <w:rFonts w:asciiTheme="majorHAnsi" w:eastAsia="Geneva" w:hAnsiTheme="majorHAnsi"/>
          <w:b/>
          <w:bCs/>
          <w:iCs/>
        </w:rPr>
        <w:t xml:space="preserve">. </w:t>
      </w:r>
      <w:r>
        <w:rPr>
          <w:lang w:bidi="ar-SA"/>
        </w:rPr>
        <w:t> </w:t>
      </w:r>
      <w:r>
        <w:rPr>
          <w:rFonts w:asciiTheme="majorHAnsi" w:eastAsia="Geneva" w:hAnsiTheme="majorHAnsi"/>
          <w:bCs/>
          <w:iCs/>
        </w:rPr>
        <w:t>Pro eliminaci</w:t>
      </w:r>
      <w:r>
        <w:rPr>
          <w:lang w:bidi="ar-SA"/>
        </w:rPr>
        <w:t xml:space="preserve"> těchto skutečností, je potřeba, aby v čele NIP stál </w:t>
      </w:r>
      <w:r w:rsidRPr="006C5AA5">
        <w:rPr>
          <w:b/>
          <w:lang w:bidi="ar-SA"/>
        </w:rPr>
        <w:t>odborný garant</w:t>
      </w:r>
      <w:r>
        <w:rPr>
          <w:lang w:bidi="ar-SA"/>
        </w:rPr>
        <w:t xml:space="preserve">. Facilitace expertních diskusí NIP by měla být přenechána </w:t>
      </w:r>
      <w:r w:rsidRPr="006C5AA5">
        <w:rPr>
          <w:b/>
          <w:lang w:bidi="ar-SA"/>
        </w:rPr>
        <w:t xml:space="preserve">erudovaným odborníkům daného </w:t>
      </w:r>
      <w:r>
        <w:rPr>
          <w:b/>
          <w:lang w:bidi="ar-SA"/>
        </w:rPr>
        <w:t xml:space="preserve">výzkumného </w:t>
      </w:r>
      <w:r w:rsidRPr="006C5AA5">
        <w:rPr>
          <w:b/>
          <w:lang w:bidi="ar-SA"/>
        </w:rPr>
        <w:t>sektoru</w:t>
      </w:r>
      <w:r>
        <w:rPr>
          <w:b/>
          <w:lang w:bidi="ar-SA"/>
        </w:rPr>
        <w:t xml:space="preserve"> (aplikačního </w:t>
      </w:r>
      <w:r>
        <w:rPr>
          <w:b/>
          <w:lang w:bidi="ar-SA"/>
        </w:rPr>
        <w:lastRenderedPageBreak/>
        <w:t>odvětví)</w:t>
      </w:r>
      <w:r>
        <w:rPr>
          <w:lang w:bidi="ar-SA"/>
        </w:rPr>
        <w:t xml:space="preserve">, kteří budou schopni vést diskusi na </w:t>
      </w:r>
      <w:r w:rsidRPr="006C5AA5">
        <w:rPr>
          <w:b/>
          <w:lang w:bidi="ar-SA"/>
        </w:rPr>
        <w:t>vysoké odborné úrovni</w:t>
      </w:r>
      <w:r>
        <w:rPr>
          <w:lang w:bidi="ar-SA"/>
        </w:rPr>
        <w:t xml:space="preserve"> a budou </w:t>
      </w:r>
      <w:r w:rsidRPr="006C5AA5">
        <w:rPr>
          <w:lang w:bidi="ar-SA"/>
        </w:rPr>
        <w:t xml:space="preserve">považováni </w:t>
      </w:r>
      <w:r>
        <w:rPr>
          <w:lang w:bidi="ar-SA"/>
        </w:rPr>
        <w:t xml:space="preserve">ostatními stakeholdery </w:t>
      </w:r>
      <w:r w:rsidRPr="006C5AA5">
        <w:rPr>
          <w:lang w:bidi="ar-SA"/>
        </w:rPr>
        <w:t>za</w:t>
      </w:r>
      <w:r w:rsidRPr="006C5AA5">
        <w:rPr>
          <w:b/>
          <w:lang w:bidi="ar-SA"/>
        </w:rPr>
        <w:t xml:space="preserve"> odborné autority</w:t>
      </w:r>
      <w:r>
        <w:rPr>
          <w:lang w:bidi="ar-SA"/>
        </w:rPr>
        <w:t xml:space="preserve">. Tento přístup zajisté přispěje k efektivní vertikalizaci a zacílení podpory a posílí tak pozitivní vnímání Národní RIS3 strategie. </w:t>
      </w:r>
      <w:r w:rsidRPr="00E62E12">
        <w:rPr>
          <w:bCs/>
          <w:szCs w:val="22"/>
        </w:rPr>
        <w:t xml:space="preserve"> </w:t>
      </w:r>
      <w:r>
        <w:rPr>
          <w:lang w:bidi="ar-SA"/>
        </w:rPr>
        <w:t xml:space="preserve"> </w:t>
      </w:r>
      <w:r w:rsidRPr="00E62E12">
        <w:rPr>
          <w:bCs/>
          <w:szCs w:val="22"/>
        </w:rPr>
        <w:t xml:space="preserve"> </w:t>
      </w:r>
    </w:p>
    <w:p w14:paraId="7D25527F" w14:textId="77777777" w:rsidR="009715E8" w:rsidRDefault="009715E8" w:rsidP="009715E8">
      <w:pPr>
        <w:spacing w:after="360"/>
        <w:rPr>
          <w:rFonts w:asciiTheme="majorHAnsi" w:eastAsia="Geneva" w:hAnsiTheme="majorHAnsi"/>
          <w:bCs/>
          <w:iCs/>
        </w:rPr>
      </w:pPr>
      <w:r>
        <w:rPr>
          <w:rFonts w:asciiTheme="majorHAnsi" w:eastAsia="Geneva" w:hAnsiTheme="majorHAnsi"/>
          <w:bCs/>
          <w:iCs/>
        </w:rPr>
        <w:t xml:space="preserve">Projekty realizované v rámci intervencí spadajících do Národní RIS3 strategie by měly vykazovat soulad s jejími cíli. Avšak přístupy jednotlivých řídicích orgánů k vykazování tohoto souladu se </w:t>
      </w:r>
      <w:r w:rsidRPr="00040813">
        <w:rPr>
          <w:rFonts w:asciiTheme="majorHAnsi" w:eastAsia="Geneva" w:hAnsiTheme="majorHAnsi"/>
          <w:b/>
          <w:bCs/>
          <w:iCs/>
        </w:rPr>
        <w:t>liší</w:t>
      </w:r>
      <w:r>
        <w:rPr>
          <w:rFonts w:asciiTheme="majorHAnsi" w:eastAsia="Geneva" w:hAnsiTheme="majorHAnsi"/>
          <w:bCs/>
          <w:iCs/>
        </w:rPr>
        <w:t xml:space="preserve">, stejně tak jako kritéria pro jejich hodnocení. V současném programovém období jsou mechanizmy již nastaveny, nicméně v souvislosti s přípravou nového programovacího období je nezbytné pracovat na nastavení jednotného přístupu jak pro příjemce podpory, tak pro hodnotitelé projektů.  Používání binárního kritéria hodnocení považují hodnotitelé za nedostatečné a navrhují ho nahradit bodovým kritériem. Výrazná </w:t>
      </w:r>
      <w:r w:rsidRPr="00040813">
        <w:rPr>
          <w:rFonts w:asciiTheme="majorHAnsi" w:eastAsia="Geneva" w:hAnsiTheme="majorHAnsi"/>
          <w:b/>
          <w:bCs/>
          <w:iCs/>
        </w:rPr>
        <w:t>bonifikace projektů</w:t>
      </w:r>
      <w:r>
        <w:rPr>
          <w:rFonts w:asciiTheme="majorHAnsi" w:eastAsia="Geneva" w:hAnsiTheme="majorHAnsi"/>
          <w:bCs/>
          <w:iCs/>
        </w:rPr>
        <w:t>, která cílí do nosných národních domén inteligentní specializace by přispěla k efektivnímu zacílení finančních zdrojů.</w:t>
      </w:r>
    </w:p>
    <w:p w14:paraId="1BDADBC8" w14:textId="77777777" w:rsidR="009715E8" w:rsidRPr="00903D78" w:rsidRDefault="009715E8" w:rsidP="009715E8">
      <w:pPr>
        <w:rPr>
          <w:rFonts w:asciiTheme="majorHAnsi" w:eastAsia="Geneva" w:hAnsiTheme="majorHAnsi"/>
          <w:b/>
          <w:bCs/>
          <w:i/>
          <w:iCs/>
          <w:u w:val="single"/>
        </w:rPr>
      </w:pPr>
      <w:r w:rsidRPr="00903D78">
        <w:rPr>
          <w:rFonts w:asciiTheme="majorHAnsi" w:eastAsia="Geneva" w:hAnsiTheme="majorHAnsi"/>
          <w:b/>
          <w:bCs/>
          <w:i/>
          <w:iCs/>
          <w:u w:val="single"/>
        </w:rPr>
        <w:t xml:space="preserve">Mezi </w:t>
      </w:r>
      <w:r>
        <w:rPr>
          <w:rFonts w:asciiTheme="majorHAnsi" w:eastAsia="Geneva" w:hAnsiTheme="majorHAnsi"/>
          <w:b/>
          <w:bCs/>
          <w:i/>
          <w:iCs/>
          <w:u w:val="single"/>
        </w:rPr>
        <w:t xml:space="preserve">klíčová </w:t>
      </w:r>
      <w:r w:rsidRPr="00903D78">
        <w:rPr>
          <w:rFonts w:asciiTheme="majorHAnsi" w:eastAsia="Geneva" w:hAnsiTheme="majorHAnsi"/>
          <w:b/>
          <w:bCs/>
          <w:i/>
          <w:iCs/>
          <w:u w:val="single"/>
        </w:rPr>
        <w:t xml:space="preserve">doporučení pro přípravu Národní RIS3 strategie 2021+ lze zahrnout: </w:t>
      </w:r>
    </w:p>
    <w:p w14:paraId="362E550F" w14:textId="77777777" w:rsidR="009715E8" w:rsidRDefault="009715E8" w:rsidP="009715E8">
      <w:pPr>
        <w:pStyle w:val="Odstavecseseznamem"/>
        <w:numPr>
          <w:ilvl w:val="0"/>
          <w:numId w:val="35"/>
        </w:numPr>
        <w:spacing w:before="60" w:after="0"/>
        <w:ind w:left="318" w:hanging="284"/>
        <w:rPr>
          <w:rFonts w:asciiTheme="majorHAnsi" w:eastAsia="Geneva" w:hAnsiTheme="majorHAnsi"/>
          <w:bCs/>
          <w:iCs/>
        </w:rPr>
      </w:pPr>
      <w:r>
        <w:rPr>
          <w:rFonts w:asciiTheme="majorHAnsi" w:eastAsia="Geneva" w:hAnsiTheme="majorHAnsi"/>
          <w:bCs/>
          <w:iCs/>
        </w:rPr>
        <w:t xml:space="preserve">vytýčit </w:t>
      </w:r>
      <w:r w:rsidRPr="00A72C42">
        <w:rPr>
          <w:rFonts w:asciiTheme="majorHAnsi" w:eastAsia="Geneva" w:hAnsiTheme="majorHAnsi"/>
          <w:b/>
          <w:bCs/>
          <w:iCs/>
        </w:rPr>
        <w:t>konkrétní, jasné a měřitelné cíle</w:t>
      </w:r>
      <w:r>
        <w:rPr>
          <w:rFonts w:asciiTheme="majorHAnsi" w:eastAsia="Geneva" w:hAnsiTheme="majorHAnsi"/>
          <w:bCs/>
          <w:iCs/>
        </w:rPr>
        <w:t xml:space="preserve"> </w:t>
      </w:r>
    </w:p>
    <w:p w14:paraId="555232BD" w14:textId="0B811BC1" w:rsidR="009715E8" w:rsidRPr="00A73465" w:rsidRDefault="009715E8" w:rsidP="00A73465">
      <w:pPr>
        <w:pStyle w:val="Odstavecseseznamem"/>
        <w:numPr>
          <w:ilvl w:val="0"/>
          <w:numId w:val="35"/>
        </w:numPr>
        <w:spacing w:before="0" w:after="0"/>
        <w:ind w:left="317" w:hanging="283"/>
        <w:rPr>
          <w:rFonts w:asciiTheme="majorHAnsi" w:eastAsia="Geneva" w:hAnsiTheme="majorHAnsi"/>
          <w:b/>
          <w:bCs/>
          <w:iCs/>
        </w:rPr>
      </w:pPr>
      <w:r>
        <w:rPr>
          <w:rFonts w:asciiTheme="majorHAnsi" w:eastAsia="Geneva" w:hAnsiTheme="majorHAnsi"/>
          <w:bCs/>
          <w:iCs/>
        </w:rPr>
        <w:t>z</w:t>
      </w:r>
      <w:r w:rsidRPr="00A72C42">
        <w:rPr>
          <w:rFonts w:asciiTheme="majorHAnsi" w:eastAsia="Geneva" w:hAnsiTheme="majorHAnsi"/>
          <w:bCs/>
          <w:iCs/>
        </w:rPr>
        <w:t>avést důslednou</w:t>
      </w:r>
      <w:r>
        <w:rPr>
          <w:rFonts w:asciiTheme="majorHAnsi" w:eastAsia="Geneva" w:hAnsiTheme="majorHAnsi"/>
          <w:b/>
          <w:bCs/>
          <w:iCs/>
        </w:rPr>
        <w:t xml:space="preserve"> prioritizaci vertikálních cílů (vertikalizace) – </w:t>
      </w:r>
      <w:r w:rsidRPr="00A72C42">
        <w:rPr>
          <w:rFonts w:asciiTheme="majorHAnsi" w:eastAsia="Geneva" w:hAnsiTheme="majorHAnsi"/>
          <w:b/>
          <w:bCs/>
          <w:iCs/>
        </w:rPr>
        <w:t>specializ</w:t>
      </w:r>
      <w:r>
        <w:rPr>
          <w:rFonts w:asciiTheme="majorHAnsi" w:eastAsia="Geneva" w:hAnsiTheme="majorHAnsi"/>
          <w:b/>
          <w:bCs/>
          <w:iCs/>
        </w:rPr>
        <w:t xml:space="preserve">ovat </w:t>
      </w:r>
      <w:r w:rsidRPr="00A72C42">
        <w:rPr>
          <w:rFonts w:asciiTheme="majorHAnsi" w:eastAsia="Geneva" w:hAnsiTheme="majorHAnsi"/>
          <w:bCs/>
          <w:iCs/>
        </w:rPr>
        <w:t>se na nosné inovativní obory a odvětví národního hospodářství</w:t>
      </w:r>
      <w:r>
        <w:rPr>
          <w:rFonts w:asciiTheme="majorHAnsi" w:eastAsia="Geneva" w:hAnsiTheme="majorHAnsi"/>
          <w:bCs/>
          <w:iCs/>
        </w:rPr>
        <w:t xml:space="preserve"> s </w:t>
      </w:r>
      <w:r w:rsidRPr="007105E9">
        <w:rPr>
          <w:rFonts w:asciiTheme="majorHAnsi" w:eastAsia="Geneva" w:hAnsiTheme="majorHAnsi"/>
          <w:b/>
          <w:bCs/>
          <w:iCs/>
        </w:rPr>
        <w:t>konkurenční výhodou</w:t>
      </w:r>
      <w:r>
        <w:rPr>
          <w:rFonts w:asciiTheme="majorHAnsi" w:eastAsia="Geneva" w:hAnsiTheme="majorHAnsi"/>
          <w:b/>
          <w:bCs/>
          <w:iCs/>
        </w:rPr>
        <w:t xml:space="preserve">, </w:t>
      </w:r>
      <w:r w:rsidRPr="00CD18CC">
        <w:rPr>
          <w:rFonts w:asciiTheme="majorHAnsi" w:eastAsia="Geneva" w:hAnsiTheme="majorHAnsi"/>
          <w:bCs/>
          <w:iCs/>
        </w:rPr>
        <w:t>jasně vymezit návaznosti mezi znalostními doménami a doménami ekonomické specializace</w:t>
      </w:r>
    </w:p>
    <w:p w14:paraId="4D71596C" w14:textId="77777777" w:rsidR="009715E8" w:rsidRDefault="009715E8" w:rsidP="009715E8">
      <w:pPr>
        <w:pStyle w:val="Odstavecseseznamem"/>
        <w:numPr>
          <w:ilvl w:val="0"/>
          <w:numId w:val="36"/>
        </w:numPr>
        <w:spacing w:before="60" w:after="0"/>
        <w:ind w:left="318" w:hanging="284"/>
        <w:rPr>
          <w:rFonts w:asciiTheme="majorHAnsi" w:eastAsia="Geneva" w:hAnsiTheme="majorHAnsi"/>
          <w:bCs/>
          <w:iCs/>
        </w:rPr>
      </w:pPr>
      <w:r w:rsidRPr="00AE5C27">
        <w:rPr>
          <w:rFonts w:asciiTheme="majorHAnsi" w:eastAsia="Geneva" w:hAnsiTheme="majorHAnsi"/>
          <w:b/>
          <w:bCs/>
          <w:iCs/>
        </w:rPr>
        <w:t>zjednoduš</w:t>
      </w:r>
      <w:r>
        <w:rPr>
          <w:rFonts w:asciiTheme="majorHAnsi" w:eastAsia="Geneva" w:hAnsiTheme="majorHAnsi"/>
          <w:b/>
          <w:bCs/>
          <w:iCs/>
        </w:rPr>
        <w:t>it</w:t>
      </w:r>
      <w:r w:rsidRPr="00AE5C27">
        <w:rPr>
          <w:rFonts w:asciiTheme="majorHAnsi" w:eastAsia="Geneva" w:hAnsiTheme="majorHAnsi"/>
          <w:bCs/>
          <w:iCs/>
        </w:rPr>
        <w:t xml:space="preserve"> dokument Národní RIS3 strategie – jeho </w:t>
      </w:r>
      <w:r w:rsidRPr="00AE5C27">
        <w:rPr>
          <w:rFonts w:asciiTheme="majorHAnsi" w:eastAsia="Geneva" w:hAnsiTheme="majorHAnsi"/>
          <w:b/>
          <w:bCs/>
          <w:iCs/>
        </w:rPr>
        <w:t xml:space="preserve">zestručnění a zpřehlednění </w:t>
      </w:r>
      <w:r w:rsidRPr="00AE5C27">
        <w:rPr>
          <w:rFonts w:asciiTheme="majorHAnsi" w:eastAsia="Geneva" w:hAnsiTheme="majorHAnsi"/>
          <w:bCs/>
          <w:iCs/>
        </w:rPr>
        <w:t xml:space="preserve">(včetně navazujících podkladových materiálů) </w:t>
      </w:r>
    </w:p>
    <w:p w14:paraId="10805922" w14:textId="77777777" w:rsidR="009715E8" w:rsidRPr="00BC327A" w:rsidRDefault="009715E8" w:rsidP="009715E8">
      <w:pPr>
        <w:pStyle w:val="Odstavecseseznamem"/>
        <w:numPr>
          <w:ilvl w:val="0"/>
          <w:numId w:val="36"/>
        </w:numPr>
        <w:spacing w:before="0" w:after="0"/>
        <w:ind w:left="317" w:hanging="283"/>
        <w:rPr>
          <w:rFonts w:asciiTheme="majorHAnsi" w:eastAsia="Geneva" w:hAnsiTheme="majorHAnsi"/>
          <w:bCs/>
          <w:iCs/>
        </w:rPr>
      </w:pPr>
      <w:r w:rsidRPr="0082447E">
        <w:rPr>
          <w:rFonts w:asciiTheme="majorHAnsi" w:eastAsia="Geneva" w:hAnsiTheme="majorHAnsi"/>
          <w:bCs/>
          <w:iCs/>
        </w:rPr>
        <w:t>použív</w:t>
      </w:r>
      <w:r>
        <w:rPr>
          <w:rFonts w:asciiTheme="majorHAnsi" w:eastAsia="Geneva" w:hAnsiTheme="majorHAnsi"/>
          <w:bCs/>
          <w:iCs/>
        </w:rPr>
        <w:t>at</w:t>
      </w:r>
      <w:r w:rsidRPr="0082447E">
        <w:rPr>
          <w:rFonts w:asciiTheme="majorHAnsi" w:eastAsia="Geneva" w:hAnsiTheme="majorHAnsi"/>
          <w:bCs/>
          <w:iCs/>
        </w:rPr>
        <w:t xml:space="preserve"> </w:t>
      </w:r>
      <w:r w:rsidRPr="0082447E">
        <w:rPr>
          <w:rFonts w:asciiTheme="majorHAnsi" w:eastAsia="Geneva" w:hAnsiTheme="majorHAnsi"/>
          <w:b/>
          <w:bCs/>
          <w:iCs/>
        </w:rPr>
        <w:t>jasn</w:t>
      </w:r>
      <w:r>
        <w:rPr>
          <w:rFonts w:asciiTheme="majorHAnsi" w:eastAsia="Geneva" w:hAnsiTheme="majorHAnsi"/>
          <w:b/>
          <w:bCs/>
          <w:iCs/>
        </w:rPr>
        <w:t>é</w:t>
      </w:r>
      <w:r w:rsidRPr="0082447E">
        <w:rPr>
          <w:rFonts w:asciiTheme="majorHAnsi" w:eastAsia="Geneva" w:hAnsiTheme="majorHAnsi"/>
          <w:b/>
          <w:bCs/>
          <w:iCs/>
        </w:rPr>
        <w:t xml:space="preserve"> a jednoznačn</w:t>
      </w:r>
      <w:r>
        <w:rPr>
          <w:rFonts w:asciiTheme="majorHAnsi" w:eastAsia="Geneva" w:hAnsiTheme="majorHAnsi"/>
          <w:b/>
          <w:bCs/>
          <w:iCs/>
        </w:rPr>
        <w:t>é</w:t>
      </w:r>
      <w:r w:rsidRPr="0082447E">
        <w:rPr>
          <w:rFonts w:asciiTheme="majorHAnsi" w:eastAsia="Geneva" w:hAnsiTheme="majorHAnsi"/>
          <w:bCs/>
          <w:iCs/>
        </w:rPr>
        <w:t xml:space="preserve"> </w:t>
      </w:r>
      <w:r w:rsidRPr="0082447E">
        <w:rPr>
          <w:rFonts w:asciiTheme="majorHAnsi" w:eastAsia="Geneva" w:hAnsiTheme="majorHAnsi"/>
          <w:b/>
          <w:bCs/>
          <w:iCs/>
        </w:rPr>
        <w:t>formulac</w:t>
      </w:r>
      <w:r>
        <w:rPr>
          <w:rFonts w:asciiTheme="majorHAnsi" w:eastAsia="Geneva" w:hAnsiTheme="majorHAnsi"/>
          <w:b/>
          <w:bCs/>
          <w:iCs/>
        </w:rPr>
        <w:t>e</w:t>
      </w:r>
      <w:r w:rsidRPr="0082447E">
        <w:rPr>
          <w:rFonts w:asciiTheme="majorHAnsi" w:eastAsia="Geneva" w:hAnsiTheme="majorHAnsi"/>
          <w:b/>
          <w:bCs/>
          <w:iCs/>
        </w:rPr>
        <w:t xml:space="preserve"> srozumiteln</w:t>
      </w:r>
      <w:r>
        <w:rPr>
          <w:rFonts w:asciiTheme="majorHAnsi" w:eastAsia="Geneva" w:hAnsiTheme="majorHAnsi"/>
          <w:b/>
          <w:bCs/>
          <w:iCs/>
        </w:rPr>
        <w:t>é</w:t>
      </w:r>
      <w:r w:rsidRPr="0082447E">
        <w:rPr>
          <w:rFonts w:asciiTheme="majorHAnsi" w:eastAsia="Geneva" w:hAnsiTheme="majorHAnsi"/>
          <w:b/>
          <w:bCs/>
          <w:iCs/>
        </w:rPr>
        <w:t xml:space="preserve"> i pro širší odbornou veřejnost</w:t>
      </w:r>
    </w:p>
    <w:p w14:paraId="26E8191D" w14:textId="77777777" w:rsidR="009715E8" w:rsidRPr="00BC327A" w:rsidRDefault="009715E8" w:rsidP="009715E8">
      <w:pPr>
        <w:pStyle w:val="Odstavecseseznamem"/>
        <w:numPr>
          <w:ilvl w:val="0"/>
          <w:numId w:val="36"/>
        </w:numPr>
        <w:spacing w:before="0" w:after="0"/>
        <w:ind w:left="317" w:hanging="283"/>
        <w:rPr>
          <w:rFonts w:asciiTheme="majorHAnsi" w:eastAsia="Geneva" w:hAnsiTheme="majorHAnsi"/>
          <w:bCs/>
          <w:iCs/>
        </w:rPr>
      </w:pPr>
      <w:r>
        <w:rPr>
          <w:rFonts w:asciiTheme="majorHAnsi" w:eastAsia="Geneva" w:hAnsiTheme="majorHAnsi"/>
          <w:b/>
          <w:bCs/>
          <w:iCs/>
        </w:rPr>
        <w:t>u</w:t>
      </w:r>
      <w:r w:rsidRPr="00BC327A">
        <w:rPr>
          <w:rFonts w:asciiTheme="majorHAnsi" w:eastAsia="Geneva" w:hAnsiTheme="majorHAnsi"/>
          <w:b/>
          <w:bCs/>
          <w:iCs/>
        </w:rPr>
        <w:t>prav</w:t>
      </w:r>
      <w:r>
        <w:rPr>
          <w:rFonts w:asciiTheme="majorHAnsi" w:eastAsia="Geneva" w:hAnsiTheme="majorHAnsi"/>
          <w:b/>
          <w:bCs/>
          <w:iCs/>
        </w:rPr>
        <w:t>it</w:t>
      </w:r>
      <w:r w:rsidRPr="00BC327A">
        <w:rPr>
          <w:rFonts w:asciiTheme="majorHAnsi" w:eastAsia="Geneva" w:hAnsiTheme="majorHAnsi"/>
          <w:b/>
          <w:bCs/>
          <w:iCs/>
        </w:rPr>
        <w:t xml:space="preserve"> terminologi</w:t>
      </w:r>
      <w:r>
        <w:rPr>
          <w:rFonts w:asciiTheme="majorHAnsi" w:eastAsia="Geneva" w:hAnsiTheme="majorHAnsi"/>
          <w:b/>
          <w:bCs/>
          <w:iCs/>
        </w:rPr>
        <w:t xml:space="preserve">i </w:t>
      </w:r>
      <w:r w:rsidRPr="00BC327A">
        <w:rPr>
          <w:rFonts w:asciiTheme="majorHAnsi" w:eastAsia="Geneva" w:hAnsiTheme="majorHAnsi"/>
          <w:bCs/>
          <w:iCs/>
        </w:rPr>
        <w:t xml:space="preserve">a </w:t>
      </w:r>
      <w:r>
        <w:rPr>
          <w:rFonts w:asciiTheme="majorHAnsi" w:eastAsia="Geneva" w:hAnsiTheme="majorHAnsi"/>
          <w:bCs/>
          <w:iCs/>
        </w:rPr>
        <w:t>eliminova</w:t>
      </w:r>
      <w:r w:rsidRPr="00BC327A">
        <w:rPr>
          <w:rFonts w:asciiTheme="majorHAnsi" w:eastAsia="Geneva" w:hAnsiTheme="majorHAnsi"/>
          <w:bCs/>
          <w:iCs/>
        </w:rPr>
        <w:t>t nejednoznačn</w:t>
      </w:r>
      <w:r>
        <w:rPr>
          <w:rFonts w:asciiTheme="majorHAnsi" w:eastAsia="Geneva" w:hAnsiTheme="majorHAnsi"/>
          <w:bCs/>
          <w:iCs/>
        </w:rPr>
        <w:t>ý</w:t>
      </w:r>
      <w:r w:rsidRPr="00BC327A">
        <w:rPr>
          <w:rFonts w:asciiTheme="majorHAnsi" w:eastAsia="Geneva" w:hAnsiTheme="majorHAnsi"/>
          <w:bCs/>
          <w:iCs/>
        </w:rPr>
        <w:t xml:space="preserve"> výklad</w:t>
      </w:r>
      <w:r>
        <w:rPr>
          <w:rFonts w:asciiTheme="majorHAnsi" w:eastAsia="Geneva" w:hAnsiTheme="majorHAnsi"/>
          <w:bCs/>
          <w:iCs/>
        </w:rPr>
        <w:t xml:space="preserve"> </w:t>
      </w:r>
      <w:r w:rsidRPr="00BC327A">
        <w:rPr>
          <w:rFonts w:asciiTheme="majorHAnsi" w:eastAsia="Geneva" w:hAnsiTheme="majorHAnsi"/>
          <w:bCs/>
          <w:iCs/>
        </w:rPr>
        <w:t>-  uvést jasné definice a sjednotit výzkumné a odborné pojmy</w:t>
      </w:r>
    </w:p>
    <w:p w14:paraId="31182402" w14:textId="77777777" w:rsidR="009715E8" w:rsidRDefault="009715E8" w:rsidP="009715E8">
      <w:pPr>
        <w:pStyle w:val="Odstavecseseznamem"/>
        <w:numPr>
          <w:ilvl w:val="0"/>
          <w:numId w:val="36"/>
        </w:numPr>
        <w:spacing w:before="0" w:after="0"/>
        <w:ind w:left="317" w:hanging="283"/>
        <w:rPr>
          <w:rFonts w:asciiTheme="majorHAnsi" w:eastAsia="Geneva" w:hAnsiTheme="majorHAnsi"/>
          <w:bCs/>
          <w:iCs/>
        </w:rPr>
      </w:pPr>
      <w:r>
        <w:rPr>
          <w:rFonts w:asciiTheme="majorHAnsi" w:eastAsia="Geneva" w:hAnsiTheme="majorHAnsi"/>
          <w:bCs/>
          <w:iCs/>
        </w:rPr>
        <w:t xml:space="preserve">vytvořit uživatelsky vstřícný dokument určený pro příjemce, hodnotitelé a širší veřejnost např.  stručné </w:t>
      </w:r>
      <w:r w:rsidRPr="007105E9">
        <w:rPr>
          <w:rFonts w:asciiTheme="majorHAnsi" w:eastAsia="Geneva" w:hAnsiTheme="majorHAnsi"/>
          <w:b/>
          <w:bCs/>
          <w:iCs/>
        </w:rPr>
        <w:t>brožury</w:t>
      </w:r>
      <w:r>
        <w:rPr>
          <w:rFonts w:asciiTheme="majorHAnsi" w:eastAsia="Geneva" w:hAnsiTheme="majorHAnsi"/>
          <w:bCs/>
          <w:iCs/>
        </w:rPr>
        <w:t xml:space="preserve">, </w:t>
      </w:r>
      <w:r w:rsidRPr="007105E9">
        <w:rPr>
          <w:rFonts w:asciiTheme="majorHAnsi" w:eastAsia="Geneva" w:hAnsiTheme="majorHAnsi"/>
          <w:b/>
          <w:bCs/>
          <w:iCs/>
        </w:rPr>
        <w:t>příručky</w:t>
      </w:r>
      <w:r>
        <w:rPr>
          <w:rFonts w:asciiTheme="majorHAnsi" w:eastAsia="Geneva" w:hAnsiTheme="majorHAnsi"/>
          <w:bCs/>
          <w:iCs/>
        </w:rPr>
        <w:t xml:space="preserve"> apod. (</w:t>
      </w:r>
      <w:r w:rsidRPr="00AE5C27">
        <w:rPr>
          <w:rFonts w:asciiTheme="majorHAnsi" w:eastAsia="Geneva" w:hAnsiTheme="majorHAnsi"/>
          <w:bCs/>
          <w:iCs/>
        </w:rPr>
        <w:t>stručného souhrnného materiálu pro první základní orientaci</w:t>
      </w:r>
      <w:r>
        <w:rPr>
          <w:rFonts w:asciiTheme="majorHAnsi" w:eastAsia="Geneva" w:hAnsiTheme="majorHAnsi"/>
          <w:bCs/>
          <w:iCs/>
        </w:rPr>
        <w:t>),</w:t>
      </w:r>
      <w:r w:rsidRPr="00903D78">
        <w:rPr>
          <w:rFonts w:asciiTheme="majorHAnsi" w:eastAsia="Geneva" w:hAnsiTheme="majorHAnsi"/>
          <w:bCs/>
          <w:iCs/>
        </w:rPr>
        <w:t xml:space="preserve"> </w:t>
      </w:r>
      <w:r>
        <w:rPr>
          <w:rFonts w:asciiTheme="majorHAnsi" w:eastAsia="Geneva" w:hAnsiTheme="majorHAnsi"/>
          <w:bCs/>
          <w:iCs/>
        </w:rPr>
        <w:t xml:space="preserve">zvolit v dokumentech </w:t>
      </w:r>
      <w:r w:rsidRPr="00E00C1A">
        <w:rPr>
          <w:rFonts w:asciiTheme="majorHAnsi" w:eastAsia="Geneva" w:hAnsiTheme="majorHAnsi"/>
          <w:b/>
          <w:bCs/>
          <w:iCs/>
        </w:rPr>
        <w:t>názornější formu prezentace</w:t>
      </w:r>
      <w:r>
        <w:rPr>
          <w:rFonts w:asciiTheme="majorHAnsi" w:eastAsia="Geneva" w:hAnsiTheme="majorHAnsi"/>
          <w:b/>
          <w:bCs/>
          <w:iCs/>
        </w:rPr>
        <w:t xml:space="preserve"> - </w:t>
      </w:r>
      <w:r w:rsidRPr="00AE5C27">
        <w:rPr>
          <w:rFonts w:asciiTheme="majorHAnsi" w:eastAsia="Geneva" w:hAnsiTheme="majorHAnsi"/>
          <w:bCs/>
          <w:iCs/>
        </w:rPr>
        <w:t>používáním vizualizací, procesních map</w:t>
      </w:r>
      <w:r>
        <w:rPr>
          <w:rFonts w:asciiTheme="majorHAnsi" w:eastAsia="Geneva" w:hAnsiTheme="majorHAnsi"/>
          <w:bCs/>
          <w:iCs/>
        </w:rPr>
        <w:t>, infografiky</w:t>
      </w:r>
      <w:r w:rsidRPr="00AE5C27">
        <w:rPr>
          <w:rFonts w:asciiTheme="majorHAnsi" w:eastAsia="Geneva" w:hAnsiTheme="majorHAnsi"/>
          <w:bCs/>
          <w:iCs/>
        </w:rPr>
        <w:t xml:space="preserve"> a dalších prvků</w:t>
      </w:r>
      <w:r>
        <w:rPr>
          <w:rFonts w:asciiTheme="majorHAnsi" w:eastAsia="Geneva" w:hAnsiTheme="majorHAnsi"/>
          <w:bCs/>
          <w:iCs/>
        </w:rPr>
        <w:t>,</w:t>
      </w:r>
      <w:r w:rsidRPr="00903D78">
        <w:rPr>
          <w:rFonts w:asciiTheme="majorHAnsi" w:eastAsia="Geneva" w:hAnsiTheme="majorHAnsi"/>
          <w:bCs/>
          <w:iCs/>
        </w:rPr>
        <w:t xml:space="preserve"> </w:t>
      </w:r>
      <w:r w:rsidRPr="00BC327A">
        <w:rPr>
          <w:rFonts w:asciiTheme="majorHAnsi" w:eastAsia="Geneva" w:hAnsiTheme="majorHAnsi"/>
          <w:bCs/>
          <w:iCs/>
        </w:rPr>
        <w:t>uvádě</w:t>
      </w:r>
      <w:r>
        <w:rPr>
          <w:rFonts w:asciiTheme="majorHAnsi" w:eastAsia="Geneva" w:hAnsiTheme="majorHAnsi"/>
          <w:bCs/>
          <w:iCs/>
        </w:rPr>
        <w:t>t</w:t>
      </w:r>
      <w:r w:rsidRPr="00BC327A">
        <w:rPr>
          <w:rFonts w:asciiTheme="majorHAnsi" w:eastAsia="Geneva" w:hAnsiTheme="majorHAnsi"/>
          <w:bCs/>
          <w:iCs/>
        </w:rPr>
        <w:t xml:space="preserve"> </w:t>
      </w:r>
      <w:r w:rsidRPr="00BC327A">
        <w:rPr>
          <w:rFonts w:asciiTheme="majorHAnsi" w:eastAsia="Geneva" w:hAnsiTheme="majorHAnsi"/>
          <w:b/>
          <w:bCs/>
          <w:iCs/>
        </w:rPr>
        <w:t xml:space="preserve">konkrétní </w:t>
      </w:r>
      <w:r>
        <w:rPr>
          <w:rFonts w:asciiTheme="majorHAnsi" w:eastAsia="Geneva" w:hAnsiTheme="majorHAnsi"/>
          <w:b/>
          <w:bCs/>
          <w:iCs/>
        </w:rPr>
        <w:t xml:space="preserve">a praktické </w:t>
      </w:r>
      <w:r w:rsidRPr="00BC327A">
        <w:rPr>
          <w:rFonts w:asciiTheme="majorHAnsi" w:eastAsia="Geneva" w:hAnsiTheme="majorHAnsi"/>
          <w:b/>
          <w:bCs/>
          <w:iCs/>
        </w:rPr>
        <w:t>příklad</w:t>
      </w:r>
      <w:r>
        <w:rPr>
          <w:rFonts w:asciiTheme="majorHAnsi" w:eastAsia="Geneva" w:hAnsiTheme="majorHAnsi"/>
          <w:b/>
          <w:bCs/>
          <w:iCs/>
        </w:rPr>
        <w:t>y</w:t>
      </w:r>
    </w:p>
    <w:p w14:paraId="062A3C98" w14:textId="77777777" w:rsidR="009715E8" w:rsidRPr="008C431C" w:rsidRDefault="009715E8" w:rsidP="009715E8">
      <w:pPr>
        <w:pStyle w:val="Odstavecseseznamem"/>
        <w:numPr>
          <w:ilvl w:val="0"/>
          <w:numId w:val="36"/>
        </w:numPr>
        <w:spacing w:before="0" w:after="0"/>
        <w:ind w:left="317" w:hanging="283"/>
        <w:rPr>
          <w:rFonts w:asciiTheme="majorHAnsi" w:eastAsia="Geneva" w:hAnsiTheme="majorHAnsi"/>
          <w:bCs/>
          <w:iCs/>
        </w:rPr>
      </w:pPr>
      <w:r w:rsidRPr="008C431C">
        <w:rPr>
          <w:rFonts w:asciiTheme="majorHAnsi" w:eastAsia="Geneva" w:hAnsiTheme="majorHAnsi"/>
          <w:bCs/>
          <w:iCs/>
        </w:rPr>
        <w:t xml:space="preserve">pokračovat v účinné </w:t>
      </w:r>
      <w:r w:rsidRPr="008C431C">
        <w:rPr>
          <w:rFonts w:asciiTheme="majorHAnsi" w:eastAsia="Geneva" w:hAnsiTheme="majorHAnsi"/>
          <w:b/>
          <w:bCs/>
          <w:iCs/>
        </w:rPr>
        <w:t>komunikaci</w:t>
      </w:r>
      <w:r w:rsidRPr="008C431C">
        <w:rPr>
          <w:rFonts w:asciiTheme="majorHAnsi" w:eastAsia="Geneva" w:hAnsiTheme="majorHAnsi"/>
          <w:bCs/>
          <w:iCs/>
        </w:rPr>
        <w:t xml:space="preserve"> a přenosu informací jak v horizontální rovině (rezortní přístup) tak ve vertikální rovině (směrem ke krajům)</w:t>
      </w:r>
    </w:p>
    <w:p w14:paraId="1D633ADC" w14:textId="77777777" w:rsidR="009715E8" w:rsidRPr="008D1070" w:rsidRDefault="009715E8" w:rsidP="009715E8">
      <w:pPr>
        <w:pStyle w:val="Odstavecseseznamem"/>
        <w:numPr>
          <w:ilvl w:val="0"/>
          <w:numId w:val="39"/>
        </w:numPr>
        <w:spacing w:before="60" w:after="0"/>
        <w:ind w:left="318" w:hanging="284"/>
        <w:jc w:val="left"/>
        <w:rPr>
          <w:rFonts w:eastAsia="Geneva" w:cs="Calibri"/>
          <w:bCs/>
          <w:iCs/>
        </w:rPr>
      </w:pPr>
      <w:r w:rsidRPr="008D1070">
        <w:rPr>
          <w:rFonts w:eastAsia="Geneva" w:cs="Calibri"/>
          <w:bCs/>
          <w:iCs/>
        </w:rPr>
        <w:t xml:space="preserve">zvážit </w:t>
      </w:r>
      <w:r w:rsidRPr="008D1070">
        <w:rPr>
          <w:rFonts w:eastAsia="Geneva" w:cs="Calibri"/>
          <w:b/>
          <w:bCs/>
          <w:iCs/>
        </w:rPr>
        <w:t>úpravu struktury NIP</w:t>
      </w:r>
      <w:r w:rsidRPr="008D1070">
        <w:rPr>
          <w:rFonts w:eastAsia="Geneva" w:cs="Calibri"/>
          <w:bCs/>
          <w:iCs/>
        </w:rPr>
        <w:t xml:space="preserve"> v návaznosti na prioritizaci a specializaci</w:t>
      </w:r>
      <w:r>
        <w:rPr>
          <w:rFonts w:eastAsia="Geneva" w:cs="Calibri"/>
          <w:bCs/>
          <w:iCs/>
        </w:rPr>
        <w:t xml:space="preserve"> (zvážit úpravu struktury NIP dle znalostních domén)</w:t>
      </w:r>
    </w:p>
    <w:p w14:paraId="02D5C0C6" w14:textId="77777777" w:rsidR="009715E8" w:rsidRPr="008D1070" w:rsidRDefault="009715E8" w:rsidP="009715E8">
      <w:pPr>
        <w:pStyle w:val="Odstavecseseznamem"/>
        <w:numPr>
          <w:ilvl w:val="0"/>
          <w:numId w:val="39"/>
        </w:numPr>
        <w:spacing w:before="0" w:after="0"/>
        <w:ind w:left="317" w:hanging="283"/>
        <w:jc w:val="left"/>
        <w:rPr>
          <w:rFonts w:eastAsia="Geneva" w:cs="Calibri"/>
          <w:b/>
          <w:bCs/>
          <w:iCs/>
        </w:rPr>
      </w:pPr>
      <w:r>
        <w:rPr>
          <w:rFonts w:cs="Calibri"/>
          <w:lang w:bidi="ar-SA"/>
        </w:rPr>
        <w:t>u</w:t>
      </w:r>
      <w:r w:rsidRPr="008D1070">
        <w:rPr>
          <w:rFonts w:cs="Calibri"/>
          <w:lang w:bidi="ar-SA"/>
        </w:rPr>
        <w:t xml:space="preserve">stanovit do čela NIP </w:t>
      </w:r>
      <w:r w:rsidRPr="008D1070">
        <w:rPr>
          <w:rFonts w:cs="Calibri"/>
          <w:b/>
          <w:lang w:bidi="ar-SA"/>
        </w:rPr>
        <w:t>odborn</w:t>
      </w:r>
      <w:r>
        <w:rPr>
          <w:rFonts w:cs="Calibri"/>
          <w:b/>
          <w:lang w:bidi="ar-SA"/>
        </w:rPr>
        <w:t>ého</w:t>
      </w:r>
      <w:r w:rsidRPr="008D1070">
        <w:rPr>
          <w:rFonts w:cs="Calibri"/>
          <w:b/>
          <w:lang w:bidi="ar-SA"/>
        </w:rPr>
        <w:t xml:space="preserve"> garant</w:t>
      </w:r>
      <w:r>
        <w:rPr>
          <w:rFonts w:cs="Calibri"/>
          <w:b/>
          <w:lang w:bidi="ar-SA"/>
        </w:rPr>
        <w:t xml:space="preserve">a (odbornou autoritu) </w:t>
      </w:r>
      <w:r w:rsidRPr="007105E9">
        <w:rPr>
          <w:rFonts w:cs="Calibri"/>
          <w:lang w:bidi="ar-SA"/>
        </w:rPr>
        <w:t>a jeho činnost</w:t>
      </w:r>
      <w:r>
        <w:rPr>
          <w:rFonts w:cs="Calibri"/>
          <w:b/>
          <w:lang w:bidi="ar-SA"/>
        </w:rPr>
        <w:t xml:space="preserve"> finančně ohodnotit</w:t>
      </w:r>
    </w:p>
    <w:p w14:paraId="5D511DE8" w14:textId="77777777" w:rsidR="009715E8" w:rsidRDefault="009715E8" w:rsidP="009715E8">
      <w:pPr>
        <w:pStyle w:val="Odstavecseseznamem"/>
        <w:numPr>
          <w:ilvl w:val="0"/>
          <w:numId w:val="38"/>
        </w:numPr>
        <w:spacing w:before="0" w:after="0"/>
        <w:ind w:left="317" w:hanging="283"/>
        <w:rPr>
          <w:rFonts w:asciiTheme="majorHAnsi" w:eastAsia="Geneva" w:hAnsiTheme="majorHAnsi"/>
          <w:bCs/>
          <w:iCs/>
        </w:rPr>
      </w:pPr>
      <w:r>
        <w:rPr>
          <w:rFonts w:asciiTheme="majorHAnsi" w:eastAsia="Geneva" w:hAnsiTheme="majorHAnsi"/>
          <w:bCs/>
          <w:iCs/>
        </w:rPr>
        <w:t xml:space="preserve">zaměřit úsilí na </w:t>
      </w:r>
      <w:r>
        <w:rPr>
          <w:rFonts w:asciiTheme="majorHAnsi" w:eastAsia="Geneva" w:hAnsiTheme="majorHAnsi"/>
          <w:b/>
          <w:bCs/>
          <w:iCs/>
        </w:rPr>
        <w:t>metodické vedení</w:t>
      </w:r>
      <w:r>
        <w:rPr>
          <w:rFonts w:asciiTheme="majorHAnsi" w:eastAsia="Geneva" w:hAnsiTheme="majorHAnsi"/>
          <w:bCs/>
          <w:iCs/>
        </w:rPr>
        <w:t xml:space="preserve"> významných stakeholderů při implementaci Národní RIS3 strategie (např. </w:t>
      </w:r>
      <w:r w:rsidRPr="0054312F">
        <w:rPr>
          <w:rFonts w:asciiTheme="majorHAnsi" w:eastAsia="Geneva" w:hAnsiTheme="majorHAnsi"/>
          <w:b/>
          <w:bCs/>
          <w:iCs/>
        </w:rPr>
        <w:t>metodická podpora krajů</w:t>
      </w:r>
      <w:r>
        <w:rPr>
          <w:rFonts w:asciiTheme="majorHAnsi" w:eastAsia="Geneva" w:hAnsiTheme="majorHAnsi"/>
          <w:bCs/>
          <w:iCs/>
        </w:rPr>
        <w:t xml:space="preserve"> při přípravě krajských příloh 2021+, metodický „pokyn“ týkající se bonifikace souladu projektů s Národní RIS3 strategií apod.)</w:t>
      </w:r>
    </w:p>
    <w:p w14:paraId="0BF52D0C" w14:textId="77777777" w:rsidR="009715E8" w:rsidRDefault="009715E8" w:rsidP="009715E8">
      <w:pPr>
        <w:pStyle w:val="Odstavecseseznamem"/>
        <w:numPr>
          <w:ilvl w:val="0"/>
          <w:numId w:val="38"/>
        </w:numPr>
        <w:spacing w:before="60" w:after="0"/>
        <w:ind w:left="318" w:hanging="284"/>
        <w:rPr>
          <w:rFonts w:asciiTheme="majorHAnsi" w:eastAsia="Geneva" w:hAnsiTheme="majorHAnsi"/>
          <w:bCs/>
          <w:iCs/>
        </w:rPr>
      </w:pPr>
      <w:r>
        <w:rPr>
          <w:rFonts w:asciiTheme="majorHAnsi" w:eastAsia="Geneva" w:hAnsiTheme="majorHAnsi"/>
          <w:bCs/>
          <w:iCs/>
        </w:rPr>
        <w:t>u</w:t>
      </w:r>
      <w:r w:rsidRPr="00696D31">
        <w:rPr>
          <w:rFonts w:asciiTheme="majorHAnsi" w:eastAsia="Geneva" w:hAnsiTheme="majorHAnsi"/>
          <w:bCs/>
          <w:iCs/>
        </w:rPr>
        <w:t xml:space="preserve">možnit zástupcům </w:t>
      </w:r>
      <w:r>
        <w:rPr>
          <w:rFonts w:asciiTheme="majorHAnsi" w:eastAsia="Geneva" w:hAnsiTheme="majorHAnsi"/>
          <w:bCs/>
          <w:iCs/>
        </w:rPr>
        <w:t>analytického týmu</w:t>
      </w:r>
      <w:r w:rsidRPr="00696D31">
        <w:rPr>
          <w:rFonts w:asciiTheme="majorHAnsi" w:eastAsia="Geneva" w:hAnsiTheme="majorHAnsi"/>
          <w:bCs/>
          <w:iCs/>
        </w:rPr>
        <w:t xml:space="preserve"> Národní RIS3 strategie </w:t>
      </w:r>
      <w:r w:rsidRPr="00696D31">
        <w:rPr>
          <w:rFonts w:asciiTheme="majorHAnsi" w:eastAsia="Geneva" w:hAnsiTheme="majorHAnsi"/>
          <w:b/>
          <w:bCs/>
          <w:iCs/>
        </w:rPr>
        <w:t>aktivně se podílet na přípravě indikátorové soustavy pro nové programové období</w:t>
      </w:r>
      <w:r w:rsidRPr="00696D31">
        <w:rPr>
          <w:rFonts w:asciiTheme="majorHAnsi" w:eastAsia="Geneva" w:hAnsiTheme="majorHAnsi"/>
          <w:bCs/>
          <w:iCs/>
        </w:rPr>
        <w:t xml:space="preserve"> </w:t>
      </w:r>
      <w:r>
        <w:rPr>
          <w:rFonts w:asciiTheme="majorHAnsi" w:eastAsia="Geneva" w:hAnsiTheme="majorHAnsi"/>
          <w:bCs/>
          <w:iCs/>
        </w:rPr>
        <w:t>pod koordinací MMR-NOK, aby bylo dosaženo efektivního monitoringu strategie</w:t>
      </w:r>
    </w:p>
    <w:p w14:paraId="57CDCEB8" w14:textId="77777777" w:rsidR="009715E8" w:rsidRPr="00CD18CC" w:rsidRDefault="009715E8" w:rsidP="009715E8">
      <w:pPr>
        <w:pStyle w:val="Odstavecseseznamem"/>
        <w:numPr>
          <w:ilvl w:val="0"/>
          <w:numId w:val="35"/>
        </w:numPr>
        <w:ind w:left="284" w:hanging="284"/>
        <w:rPr>
          <w:lang w:bidi="ar-SA"/>
        </w:rPr>
      </w:pPr>
      <w:r w:rsidRPr="00696D31">
        <w:rPr>
          <w:rFonts w:asciiTheme="majorHAnsi" w:eastAsia="Geneva" w:hAnsiTheme="majorHAnsi"/>
          <w:bCs/>
          <w:iCs/>
        </w:rPr>
        <w:t>ze strany gestora problematiky ESIF (MMR</w:t>
      </w:r>
      <w:r>
        <w:rPr>
          <w:rFonts w:asciiTheme="majorHAnsi" w:eastAsia="Geneva" w:hAnsiTheme="majorHAnsi"/>
          <w:bCs/>
          <w:iCs/>
        </w:rPr>
        <w:t>-NOK</w:t>
      </w:r>
      <w:r w:rsidRPr="00696D31">
        <w:rPr>
          <w:rFonts w:asciiTheme="majorHAnsi" w:eastAsia="Geneva" w:hAnsiTheme="majorHAnsi"/>
          <w:bCs/>
          <w:iCs/>
        </w:rPr>
        <w:t xml:space="preserve">) </w:t>
      </w:r>
      <w:r>
        <w:rPr>
          <w:rFonts w:asciiTheme="majorHAnsi" w:eastAsia="Geneva" w:hAnsiTheme="majorHAnsi"/>
          <w:bCs/>
          <w:iCs/>
        </w:rPr>
        <w:t xml:space="preserve">by měly být </w:t>
      </w:r>
      <w:r w:rsidRPr="00696D31">
        <w:rPr>
          <w:rFonts w:asciiTheme="majorHAnsi" w:eastAsia="Geneva" w:hAnsiTheme="majorHAnsi"/>
          <w:bCs/>
          <w:iCs/>
        </w:rPr>
        <w:t xml:space="preserve">vyslyšeny </w:t>
      </w:r>
      <w:r w:rsidRPr="00696D31">
        <w:rPr>
          <w:rFonts w:asciiTheme="majorHAnsi" w:eastAsia="Geneva" w:hAnsiTheme="majorHAnsi"/>
          <w:b/>
          <w:bCs/>
          <w:iCs/>
        </w:rPr>
        <w:t>požadavky na úpravu MS2021+</w:t>
      </w:r>
      <w:r w:rsidRPr="00696D31">
        <w:rPr>
          <w:rFonts w:asciiTheme="majorHAnsi" w:eastAsia="Geneva" w:hAnsiTheme="majorHAnsi"/>
          <w:bCs/>
          <w:iCs/>
        </w:rPr>
        <w:t xml:space="preserve"> tak, aby tento systém </w:t>
      </w:r>
      <w:r w:rsidRPr="00696D31">
        <w:rPr>
          <w:rFonts w:asciiTheme="majorHAnsi" w:eastAsia="Geneva" w:hAnsiTheme="majorHAnsi"/>
          <w:b/>
          <w:bCs/>
          <w:iCs/>
        </w:rPr>
        <w:t>umožňoval agregovat data dle národních domén inteligentní specializace</w:t>
      </w:r>
      <w:r w:rsidRPr="00696D31">
        <w:rPr>
          <w:rFonts w:asciiTheme="majorHAnsi" w:eastAsia="Geneva" w:hAnsiTheme="majorHAnsi"/>
          <w:bCs/>
          <w:iCs/>
        </w:rPr>
        <w:t xml:space="preserve"> (aplikační odvětví</w:t>
      </w:r>
      <w:r>
        <w:rPr>
          <w:rFonts w:asciiTheme="majorHAnsi" w:eastAsia="Geneva" w:hAnsiTheme="majorHAnsi"/>
          <w:bCs/>
          <w:iCs/>
        </w:rPr>
        <w:t>, generických znalostních domén (KETs</w:t>
      </w:r>
      <w:r w:rsidRPr="00696D31">
        <w:rPr>
          <w:rFonts w:asciiTheme="majorHAnsi" w:eastAsia="Geneva" w:hAnsiTheme="majorHAnsi"/>
          <w:bCs/>
          <w:iCs/>
        </w:rPr>
        <w:t>).</w:t>
      </w:r>
    </w:p>
    <w:p w14:paraId="0D804CE0" w14:textId="77777777" w:rsidR="009715E8" w:rsidRPr="00903D78" w:rsidRDefault="009715E8" w:rsidP="009715E8">
      <w:pPr>
        <w:pStyle w:val="Odstavecseseznamem"/>
        <w:numPr>
          <w:ilvl w:val="0"/>
          <w:numId w:val="37"/>
        </w:numPr>
        <w:spacing w:before="0" w:after="0"/>
        <w:ind w:left="317" w:hanging="283"/>
        <w:rPr>
          <w:rFonts w:asciiTheme="majorHAnsi" w:eastAsia="Geneva" w:hAnsiTheme="majorHAnsi"/>
          <w:bCs/>
          <w:iCs/>
        </w:rPr>
      </w:pPr>
      <w:r>
        <w:rPr>
          <w:rFonts w:asciiTheme="majorHAnsi" w:eastAsia="Geneva" w:hAnsiTheme="majorHAnsi"/>
          <w:bCs/>
          <w:iCs/>
        </w:rPr>
        <w:lastRenderedPageBreak/>
        <w:t>zavést</w:t>
      </w:r>
      <w:r w:rsidRPr="00903D78">
        <w:rPr>
          <w:rFonts w:asciiTheme="majorHAnsi" w:eastAsia="Geneva" w:hAnsiTheme="majorHAnsi"/>
          <w:bCs/>
          <w:iCs/>
        </w:rPr>
        <w:t xml:space="preserve"> </w:t>
      </w:r>
      <w:r w:rsidRPr="00903D78">
        <w:rPr>
          <w:rFonts w:asciiTheme="majorHAnsi" w:eastAsia="Geneva" w:hAnsiTheme="majorHAnsi"/>
          <w:b/>
          <w:bCs/>
          <w:iCs/>
        </w:rPr>
        <w:t>bonifikaci</w:t>
      </w:r>
      <w:r w:rsidRPr="00903D78">
        <w:rPr>
          <w:rFonts w:asciiTheme="majorHAnsi" w:eastAsia="Geneva" w:hAnsiTheme="majorHAnsi"/>
          <w:bCs/>
          <w:iCs/>
        </w:rPr>
        <w:t xml:space="preserve"> projektů koordinovaně </w:t>
      </w:r>
      <w:r>
        <w:rPr>
          <w:rFonts w:asciiTheme="majorHAnsi" w:eastAsia="Geneva" w:hAnsiTheme="majorHAnsi"/>
          <w:bCs/>
          <w:iCs/>
        </w:rPr>
        <w:t>všemi řídicími orgány dotačních programů</w:t>
      </w:r>
      <w:r w:rsidRPr="00903D78">
        <w:rPr>
          <w:rFonts w:asciiTheme="majorHAnsi" w:eastAsia="Geneva" w:hAnsiTheme="majorHAnsi"/>
          <w:bCs/>
          <w:iCs/>
        </w:rPr>
        <w:t xml:space="preserve"> - zavést</w:t>
      </w:r>
      <w:r w:rsidRPr="00903D78">
        <w:rPr>
          <w:rFonts w:asciiTheme="majorHAnsi" w:eastAsia="Geneva" w:hAnsiTheme="majorHAnsi"/>
          <w:b/>
          <w:bCs/>
          <w:iCs/>
        </w:rPr>
        <w:t xml:space="preserve"> výraznou bodovou preferenci</w:t>
      </w:r>
      <w:r w:rsidRPr="00903D78">
        <w:rPr>
          <w:rFonts w:asciiTheme="majorHAnsi" w:eastAsia="Geneva" w:hAnsiTheme="majorHAnsi"/>
          <w:bCs/>
          <w:iCs/>
        </w:rPr>
        <w:t xml:space="preserve"> projektů zacílených do průniku identifikovaných domén národní znalostní specializace a národní ekonomické specializace a nahrazení binárního kritéria bodovým kritériem</w:t>
      </w:r>
    </w:p>
    <w:p w14:paraId="0E11F3A9" w14:textId="77777777" w:rsidR="009715E8" w:rsidRPr="00DF3EC8" w:rsidRDefault="009715E8" w:rsidP="009715E8">
      <w:pPr>
        <w:pStyle w:val="Odstavecseseznamem"/>
        <w:numPr>
          <w:ilvl w:val="0"/>
          <w:numId w:val="40"/>
        </w:numPr>
        <w:spacing w:before="60" w:after="0"/>
        <w:ind w:left="318" w:hanging="284"/>
        <w:rPr>
          <w:rFonts w:asciiTheme="majorHAnsi" w:eastAsia="Geneva" w:hAnsiTheme="majorHAnsi"/>
          <w:bCs/>
          <w:iCs/>
        </w:rPr>
      </w:pPr>
      <w:r w:rsidRPr="00DF3EC8">
        <w:rPr>
          <w:rFonts w:asciiTheme="majorHAnsi" w:eastAsia="Geneva" w:hAnsiTheme="majorHAnsi"/>
          <w:bCs/>
          <w:iCs/>
        </w:rPr>
        <w:t xml:space="preserve">průběžně vyjadřovat </w:t>
      </w:r>
      <w:r w:rsidRPr="00DF3EC8">
        <w:rPr>
          <w:rFonts w:asciiTheme="majorHAnsi" w:eastAsia="Geneva" w:hAnsiTheme="majorHAnsi"/>
          <w:b/>
          <w:bCs/>
          <w:iCs/>
        </w:rPr>
        <w:t>politickou podporu</w:t>
      </w:r>
      <w:r w:rsidRPr="00DF3EC8">
        <w:rPr>
          <w:rFonts w:asciiTheme="majorHAnsi" w:eastAsia="Geneva" w:hAnsiTheme="majorHAnsi"/>
          <w:bCs/>
          <w:iCs/>
        </w:rPr>
        <w:t xml:space="preserve"> RIS3 strategii a to jak na úrovni národní politické reprezentace, tak na úrovni krajské politické reprezentace</w:t>
      </w:r>
    </w:p>
    <w:p w14:paraId="61BD5C68" w14:textId="2F78D058" w:rsidR="009715E8" w:rsidRDefault="009715E8" w:rsidP="009715E8">
      <w:pPr>
        <w:pStyle w:val="Odstavecseseznamem"/>
        <w:numPr>
          <w:ilvl w:val="0"/>
          <w:numId w:val="40"/>
        </w:numPr>
        <w:spacing w:before="0" w:after="0"/>
        <w:ind w:left="317" w:hanging="283"/>
        <w:rPr>
          <w:rFonts w:asciiTheme="majorHAnsi" w:eastAsia="Geneva" w:hAnsiTheme="majorHAnsi"/>
          <w:bCs/>
          <w:iCs/>
        </w:rPr>
      </w:pPr>
      <w:r w:rsidRPr="00DF3EC8">
        <w:rPr>
          <w:rFonts w:asciiTheme="majorHAnsi" w:eastAsia="Geneva" w:hAnsiTheme="majorHAnsi"/>
          <w:b/>
          <w:bCs/>
          <w:iCs/>
        </w:rPr>
        <w:t>propagace</w:t>
      </w:r>
      <w:r w:rsidRPr="00DF3EC8">
        <w:rPr>
          <w:rFonts w:asciiTheme="majorHAnsi" w:eastAsia="Geneva" w:hAnsiTheme="majorHAnsi"/>
          <w:bCs/>
          <w:iCs/>
        </w:rPr>
        <w:t xml:space="preserve"> </w:t>
      </w:r>
      <w:r w:rsidRPr="00DF3EC8">
        <w:rPr>
          <w:rFonts w:asciiTheme="majorHAnsi" w:eastAsia="Geneva" w:hAnsiTheme="majorHAnsi"/>
          <w:b/>
          <w:bCs/>
          <w:iCs/>
        </w:rPr>
        <w:t>a popularizace</w:t>
      </w:r>
      <w:r w:rsidRPr="00DF3EC8">
        <w:rPr>
          <w:rFonts w:asciiTheme="majorHAnsi" w:eastAsia="Geneva" w:hAnsiTheme="majorHAnsi"/>
          <w:bCs/>
          <w:iCs/>
        </w:rPr>
        <w:t xml:space="preserve"> RIS3 strategie </w:t>
      </w:r>
      <w:r>
        <w:rPr>
          <w:rFonts w:asciiTheme="majorHAnsi" w:eastAsia="Geneva" w:hAnsiTheme="majorHAnsi"/>
          <w:bCs/>
          <w:iCs/>
        </w:rPr>
        <w:t xml:space="preserve">- </w:t>
      </w:r>
      <w:r w:rsidRPr="00DF3EC8">
        <w:rPr>
          <w:rFonts w:asciiTheme="majorHAnsi" w:eastAsia="Geneva" w:hAnsiTheme="majorHAnsi"/>
          <w:bCs/>
          <w:iCs/>
        </w:rPr>
        <w:t xml:space="preserve">nastavit </w:t>
      </w:r>
      <w:r w:rsidRPr="00DF3EC8">
        <w:rPr>
          <w:rFonts w:asciiTheme="majorHAnsi" w:eastAsia="Geneva" w:hAnsiTheme="majorHAnsi"/>
          <w:b/>
          <w:bCs/>
          <w:iCs/>
        </w:rPr>
        <w:t xml:space="preserve">„komunikační </w:t>
      </w:r>
      <w:r>
        <w:rPr>
          <w:rFonts w:asciiTheme="majorHAnsi" w:eastAsia="Geneva" w:hAnsiTheme="majorHAnsi"/>
          <w:b/>
          <w:bCs/>
          <w:iCs/>
        </w:rPr>
        <w:t>plán</w:t>
      </w:r>
      <w:r w:rsidRPr="00DF3EC8">
        <w:rPr>
          <w:rFonts w:asciiTheme="majorHAnsi" w:eastAsia="Geneva" w:hAnsiTheme="majorHAnsi"/>
          <w:b/>
          <w:bCs/>
          <w:iCs/>
        </w:rPr>
        <w:t>“</w:t>
      </w:r>
      <w:r w:rsidRPr="00DF3EC8">
        <w:rPr>
          <w:rFonts w:asciiTheme="majorHAnsi" w:eastAsia="Geneva" w:hAnsiTheme="majorHAnsi"/>
          <w:bCs/>
          <w:iCs/>
        </w:rPr>
        <w:t xml:space="preserve"> RIS3 strategie </w:t>
      </w:r>
      <w:r>
        <w:rPr>
          <w:rFonts w:asciiTheme="majorHAnsi" w:eastAsia="Geneva" w:hAnsiTheme="majorHAnsi"/>
          <w:bCs/>
          <w:iCs/>
        </w:rPr>
        <w:t>a </w:t>
      </w:r>
      <w:r w:rsidRPr="00DF3EC8">
        <w:rPr>
          <w:rFonts w:asciiTheme="majorHAnsi" w:eastAsia="Geneva" w:hAnsiTheme="majorHAnsi"/>
          <w:bCs/>
          <w:iCs/>
        </w:rPr>
        <w:t xml:space="preserve">posunout </w:t>
      </w:r>
      <w:r>
        <w:rPr>
          <w:rFonts w:asciiTheme="majorHAnsi" w:eastAsia="Geneva" w:hAnsiTheme="majorHAnsi"/>
          <w:bCs/>
          <w:iCs/>
        </w:rPr>
        <w:t>ji</w:t>
      </w:r>
      <w:r w:rsidRPr="00DF3EC8">
        <w:rPr>
          <w:rFonts w:asciiTheme="majorHAnsi" w:eastAsia="Geneva" w:hAnsiTheme="majorHAnsi"/>
          <w:bCs/>
          <w:iCs/>
        </w:rPr>
        <w:t xml:space="preserve"> do popředí zájmu, šířit informace o významu RIS3 strategie ve veřejném prostoru, PR aktivity, mediální kampaň, široká osvěta</w:t>
      </w:r>
      <w:r>
        <w:rPr>
          <w:rFonts w:asciiTheme="majorHAnsi" w:eastAsia="Geneva" w:hAnsiTheme="majorHAnsi"/>
          <w:bCs/>
          <w:iCs/>
        </w:rPr>
        <w:t>, jak na národní tak i regionální úrovni</w:t>
      </w:r>
    </w:p>
    <w:p w14:paraId="72B820D8" w14:textId="77777777" w:rsidR="00944AA8" w:rsidRDefault="00944AA8">
      <w:pPr>
        <w:spacing w:before="0" w:after="0" w:line="240" w:lineRule="auto"/>
        <w:jc w:val="left"/>
        <w:rPr>
          <w:rFonts w:asciiTheme="majorHAnsi" w:eastAsiaTheme="majorEastAsia" w:hAnsiTheme="majorHAnsi" w:cstheme="majorBidi"/>
          <w:b/>
          <w:bCs/>
          <w:color w:val="004B8D"/>
          <w:spacing w:val="0"/>
          <w:sz w:val="32"/>
          <w:szCs w:val="32"/>
          <w:lang w:bidi="ar-SA"/>
        </w:rPr>
      </w:pPr>
      <w:r>
        <w:rPr>
          <w:rFonts w:asciiTheme="majorHAnsi" w:eastAsiaTheme="majorEastAsia" w:hAnsiTheme="majorHAnsi" w:cstheme="majorBidi"/>
          <w:color w:val="004B8D"/>
          <w:spacing w:val="0"/>
          <w:sz w:val="32"/>
          <w:szCs w:val="32"/>
          <w:lang w:bidi="ar-SA"/>
        </w:rPr>
        <w:br w:type="page"/>
      </w:r>
    </w:p>
    <w:p w14:paraId="1CD0FD7A" w14:textId="77777777" w:rsidR="00D142D0" w:rsidRDefault="00A95FFF" w:rsidP="00246ECF">
      <w:pPr>
        <w:pStyle w:val="Nadpis1"/>
        <w:numPr>
          <w:ilvl w:val="0"/>
          <w:numId w:val="0"/>
        </w:numPr>
        <w:pBdr>
          <w:top w:val="none" w:sz="0" w:space="0" w:color="auto"/>
          <w:left w:val="none" w:sz="0" w:space="0" w:color="auto"/>
        </w:pBdr>
        <w:jc w:val="left"/>
        <w:rPr>
          <w:rFonts w:asciiTheme="majorHAnsi" w:eastAsiaTheme="majorEastAsia" w:hAnsiTheme="majorHAnsi" w:cstheme="majorBidi"/>
          <w:color w:val="004B8D"/>
          <w:spacing w:val="0"/>
          <w:sz w:val="32"/>
          <w:szCs w:val="32"/>
          <w:lang w:bidi="ar-SA"/>
        </w:rPr>
      </w:pPr>
      <w:bookmarkStart w:id="2" w:name="_Toc5626434"/>
      <w:r>
        <w:rPr>
          <w:rFonts w:asciiTheme="majorHAnsi" w:eastAsiaTheme="majorEastAsia" w:hAnsiTheme="majorHAnsi" w:cstheme="majorBidi"/>
          <w:color w:val="004B8D"/>
          <w:spacing w:val="0"/>
          <w:sz w:val="32"/>
          <w:szCs w:val="32"/>
          <w:lang w:bidi="ar-SA"/>
        </w:rPr>
        <w:lastRenderedPageBreak/>
        <w:t>1</w:t>
      </w:r>
      <w:r w:rsidR="00EA3935" w:rsidRPr="006D320E">
        <w:rPr>
          <w:rFonts w:asciiTheme="majorHAnsi" w:eastAsiaTheme="majorEastAsia" w:hAnsiTheme="majorHAnsi" w:cstheme="majorBidi"/>
          <w:color w:val="004B8D"/>
          <w:spacing w:val="0"/>
          <w:sz w:val="32"/>
          <w:szCs w:val="32"/>
          <w:lang w:bidi="ar-SA"/>
        </w:rPr>
        <w:t xml:space="preserve">. </w:t>
      </w:r>
      <w:r w:rsidR="00E8004C">
        <w:rPr>
          <w:rFonts w:asciiTheme="majorHAnsi" w:eastAsiaTheme="majorEastAsia" w:hAnsiTheme="majorHAnsi" w:cstheme="majorBidi"/>
          <w:color w:val="004B8D"/>
          <w:spacing w:val="0"/>
          <w:sz w:val="32"/>
          <w:szCs w:val="32"/>
          <w:lang w:bidi="ar-SA"/>
        </w:rPr>
        <w:t>Úvod a k</w:t>
      </w:r>
      <w:r w:rsidR="00D142D0" w:rsidRPr="006D320E">
        <w:rPr>
          <w:rFonts w:asciiTheme="majorHAnsi" w:eastAsiaTheme="majorEastAsia" w:hAnsiTheme="majorHAnsi" w:cstheme="majorBidi"/>
          <w:color w:val="004B8D"/>
          <w:spacing w:val="0"/>
          <w:sz w:val="32"/>
          <w:szCs w:val="32"/>
          <w:lang w:bidi="ar-SA"/>
        </w:rPr>
        <w:t xml:space="preserve">ontext </w:t>
      </w:r>
      <w:r w:rsidR="00E8004C">
        <w:rPr>
          <w:rFonts w:asciiTheme="majorHAnsi" w:eastAsiaTheme="majorEastAsia" w:hAnsiTheme="majorHAnsi" w:cstheme="majorBidi"/>
          <w:color w:val="004B8D"/>
          <w:spacing w:val="0"/>
          <w:sz w:val="32"/>
          <w:szCs w:val="32"/>
          <w:lang w:bidi="ar-SA"/>
        </w:rPr>
        <w:t>evaluace</w:t>
      </w:r>
      <w:bookmarkEnd w:id="2"/>
    </w:p>
    <w:p w14:paraId="1898E04E" w14:textId="6A897328" w:rsidR="00805A76" w:rsidRDefault="00805A76" w:rsidP="008566B9">
      <w:pPr>
        <w:rPr>
          <w:lang w:bidi="ar-SA"/>
        </w:rPr>
      </w:pPr>
      <w:r>
        <w:rPr>
          <w:lang w:bidi="ar-SA"/>
        </w:rPr>
        <w:t>Tato zpráva je výstupem mid-term evaluace Národní RIS3 strategie, která probíhala od června 2018 do dubna 2019. Zpráva představuje souhrnné vyhodnocení dosavadního průběhu implementace Národní RIS3 strategie</w:t>
      </w:r>
      <w:r w:rsidR="00340B92">
        <w:rPr>
          <w:lang w:bidi="ar-SA"/>
        </w:rPr>
        <w:t xml:space="preserve"> v období od jejího schválení</w:t>
      </w:r>
      <w:r w:rsidR="00D01AB9">
        <w:rPr>
          <w:lang w:bidi="ar-SA"/>
        </w:rPr>
        <w:t xml:space="preserve"> Evropskou komisí</w:t>
      </w:r>
      <w:r w:rsidR="00340B92">
        <w:rPr>
          <w:lang w:bidi="ar-SA"/>
        </w:rPr>
        <w:t xml:space="preserve"> v roce 2016 </w:t>
      </w:r>
      <w:r w:rsidR="00D01AB9">
        <w:rPr>
          <w:lang w:bidi="ar-SA"/>
        </w:rPr>
        <w:t>až do</w:t>
      </w:r>
      <w:r w:rsidR="00340B92">
        <w:rPr>
          <w:lang w:bidi="ar-SA"/>
        </w:rPr>
        <w:t>konc</w:t>
      </w:r>
      <w:r w:rsidR="00D01AB9">
        <w:rPr>
          <w:lang w:bidi="ar-SA"/>
        </w:rPr>
        <w:t>e</w:t>
      </w:r>
      <w:r w:rsidR="00340B92">
        <w:rPr>
          <w:lang w:bidi="ar-SA"/>
        </w:rPr>
        <w:t xml:space="preserve"> roku 2018, jedná se tedy o její vyhodnocení „v polovině období“. </w:t>
      </w:r>
      <w:r>
        <w:rPr>
          <w:lang w:bidi="ar-SA"/>
        </w:rPr>
        <w:t xml:space="preserve"> </w:t>
      </w:r>
    </w:p>
    <w:p w14:paraId="3BE1BF8B" w14:textId="4F13A4F8" w:rsidR="00166089" w:rsidRDefault="00166089" w:rsidP="008566B9">
      <w:pPr>
        <w:rPr>
          <w:lang w:bidi="ar-SA"/>
        </w:rPr>
      </w:pPr>
      <w:r>
        <w:rPr>
          <w:lang w:bidi="ar-SA"/>
        </w:rPr>
        <w:t>Národní výzkumná a inovační strategie pro inteligentní specializaci České republiky (z anglického Research and Innovation Strategy for Smart Specialization, dále „Národní RIS3 strategie“) je komplexní koncepční dokument zaštiťující orientovaný a aplikovaný výzkum v České republice, a</w:t>
      </w:r>
      <w:r w:rsidR="00A92777">
        <w:rPr>
          <w:lang w:bidi="ar-SA"/>
        </w:rPr>
        <w:t> </w:t>
      </w:r>
      <w:r>
        <w:rPr>
          <w:lang w:bidi="ar-SA"/>
        </w:rPr>
        <w:t>to v úzké vazbě na Národní politiku výzkumu, vývoje a inovací. Účelem Národní RIS3 strategie je efektivní zacílení finančních prostředků – evropských, národních, krajských a soukromých – do prioritních cílů a inovativních specializací, tak aby byl plně využit znalostní potenciál ČR.</w:t>
      </w:r>
    </w:p>
    <w:p w14:paraId="5E7DFB9B" w14:textId="4388128F" w:rsidR="00F435A2" w:rsidRPr="008566B9" w:rsidRDefault="00F435A2" w:rsidP="008566B9">
      <w:pPr>
        <w:rPr>
          <w:lang w:bidi="ar-SA"/>
        </w:rPr>
      </w:pPr>
      <w:r w:rsidRPr="008566B9">
        <w:rPr>
          <w:lang w:bidi="ar-SA"/>
        </w:rPr>
        <w:t>V kontextu veřejných evropských politik představuje Národní RIS3 strategie předpoklad pro naplňování regionální a kohezní politiky EU a cílů strategie Evropa 2020 – má za úkol zajišťovat hospodářský růst založený na principech inteligentních řešení (smartness), udržitelnosti a</w:t>
      </w:r>
      <w:r w:rsidR="00A92777">
        <w:rPr>
          <w:lang w:bidi="ar-SA"/>
        </w:rPr>
        <w:t> </w:t>
      </w:r>
      <w:r w:rsidRPr="008566B9">
        <w:rPr>
          <w:lang w:bidi="ar-SA"/>
        </w:rPr>
        <w:t>inkluzivity. Z tohoto titulu představuje existence propracované Národní RIS3 strategie předběžnou podmínku pro uskutečňování intervencí regionální politiky Evropské unie v oblasti výzkumu, vývoje a inovací, přesněji v tematických cílech zaměřených převážně na inovace, informační a komunikační technologie a technologický rozvoj (Nařízení Evropského parlamentu a</w:t>
      </w:r>
      <w:r w:rsidR="00A92777">
        <w:rPr>
          <w:lang w:bidi="ar-SA"/>
        </w:rPr>
        <w:t> </w:t>
      </w:r>
      <w:r w:rsidRPr="008566B9">
        <w:rPr>
          <w:lang w:bidi="ar-SA"/>
        </w:rPr>
        <w:t>Rady č. 1303/2013). Následně se však v duchu téhož nařízení Národní RIS3 strategie stává pro danou oblast také základním koordinačním mechanismem intervencí všech, bez ohledu na to, z</w:t>
      </w:r>
      <w:r w:rsidR="00A92777">
        <w:rPr>
          <w:lang w:bidi="ar-SA"/>
        </w:rPr>
        <w:t> </w:t>
      </w:r>
      <w:r w:rsidRPr="008566B9">
        <w:rPr>
          <w:lang w:bidi="ar-SA"/>
        </w:rPr>
        <w:t>jakého zdroje jsou financovány</w:t>
      </w:r>
      <w:r w:rsidRPr="008566B9">
        <w:rPr>
          <w:vertAlign w:val="superscript"/>
          <w:lang w:bidi="ar-SA"/>
        </w:rPr>
        <w:footnoteReference w:id="3"/>
      </w:r>
      <w:r w:rsidRPr="008566B9">
        <w:rPr>
          <w:lang w:bidi="ar-SA"/>
        </w:rPr>
        <w:t>.</w:t>
      </w:r>
    </w:p>
    <w:p w14:paraId="222A476C" w14:textId="77777777" w:rsidR="00F435A2" w:rsidRPr="008566B9" w:rsidRDefault="00F435A2" w:rsidP="008566B9">
      <w:pPr>
        <w:rPr>
          <w:lang w:bidi="ar-SA"/>
        </w:rPr>
      </w:pPr>
      <w:r w:rsidRPr="008566B9">
        <w:rPr>
          <w:lang w:bidi="ar-SA"/>
        </w:rPr>
        <w:t xml:space="preserve">Národní RIS3 strategie </w:t>
      </w:r>
      <w:r w:rsidR="00FE0206" w:rsidRPr="008566B9">
        <w:rPr>
          <w:lang w:bidi="ar-SA"/>
        </w:rPr>
        <w:t xml:space="preserve">na období 2014 – 2020 </w:t>
      </w:r>
      <w:r w:rsidRPr="008566B9">
        <w:rPr>
          <w:lang w:bidi="ar-SA"/>
        </w:rPr>
        <w:t>byla zpracována v roce 2014, aktualizované znění Národní RIS3 strategie bylo schváleno usnesením vlády č. 634 ze dne 11. července 2016</w:t>
      </w:r>
      <w:r w:rsidR="002C4F14">
        <w:rPr>
          <w:rStyle w:val="Znakapoznpodarou"/>
          <w:lang w:bidi="ar-SA"/>
        </w:rPr>
        <w:footnoteReference w:id="4"/>
      </w:r>
      <w:r w:rsidRPr="008566B9">
        <w:rPr>
          <w:lang w:bidi="ar-SA"/>
        </w:rPr>
        <w:t xml:space="preserve">, a poté 29. září 2016 bylo schváleno Evropskou komisí. Uvedené usnesení vlády ukládá mimo jiné </w:t>
      </w:r>
      <w:r w:rsidR="00FE0206" w:rsidRPr="008566B9">
        <w:rPr>
          <w:lang w:bidi="ar-SA"/>
        </w:rPr>
        <w:t>„zpracovávat hodnocení Strategie nebo jejích dílčích částí či jednotlivých intervencí, a to nejméně jednou za dva roky …“ a předložit toto hodnocení do 30. 6. 2019</w:t>
      </w:r>
      <w:r w:rsidR="008566B9" w:rsidRPr="008566B9">
        <w:rPr>
          <w:lang w:bidi="ar-SA"/>
        </w:rPr>
        <w:t xml:space="preserve"> vládě</w:t>
      </w:r>
      <w:r w:rsidR="00FE0206" w:rsidRPr="008566B9">
        <w:rPr>
          <w:lang w:bidi="ar-SA"/>
        </w:rPr>
        <w:t xml:space="preserve">. </w:t>
      </w:r>
    </w:p>
    <w:p w14:paraId="4B02B31B" w14:textId="77777777" w:rsidR="00F435A2" w:rsidRPr="00166089" w:rsidRDefault="00F435A2" w:rsidP="00BA59FB">
      <w:pPr>
        <w:rPr>
          <w:szCs w:val="22"/>
          <w:lang w:bidi="ar-SA"/>
        </w:rPr>
      </w:pPr>
    </w:p>
    <w:p w14:paraId="419DE77A" w14:textId="77777777" w:rsidR="00F95650" w:rsidRPr="00E8004C" w:rsidRDefault="00A95FFF" w:rsidP="004A3282">
      <w:pPr>
        <w:pStyle w:val="Nadpis2"/>
        <w:keepNext/>
        <w:keepLines/>
        <w:numPr>
          <w:ilvl w:val="0"/>
          <w:numId w:val="0"/>
        </w:numPr>
        <w:pBdr>
          <w:top w:val="none" w:sz="0" w:space="0" w:color="auto"/>
          <w:left w:val="none" w:sz="0" w:space="0" w:color="auto"/>
        </w:pBdr>
        <w:shd w:val="clear" w:color="auto" w:fill="auto"/>
        <w:spacing w:before="200" w:after="0"/>
        <w:jc w:val="left"/>
        <w:rPr>
          <w:rFonts w:asciiTheme="majorHAnsi" w:eastAsiaTheme="majorEastAsia" w:hAnsiTheme="majorHAnsi" w:cstheme="majorBidi"/>
          <w:bCs/>
          <w:color w:val="004B8D"/>
          <w:spacing w:val="0"/>
          <w:szCs w:val="26"/>
          <w:lang w:bidi="ar-SA"/>
        </w:rPr>
      </w:pPr>
      <w:bookmarkStart w:id="3" w:name="_Toc5626435"/>
      <w:bookmarkStart w:id="4" w:name="_Toc258095671"/>
      <w:bookmarkStart w:id="5" w:name="_Toc258837542"/>
      <w:bookmarkStart w:id="6" w:name="_Toc292373286"/>
      <w:r>
        <w:rPr>
          <w:rFonts w:asciiTheme="majorHAnsi" w:eastAsiaTheme="majorEastAsia" w:hAnsiTheme="majorHAnsi" w:cstheme="majorBidi"/>
          <w:bCs/>
          <w:color w:val="004B8D"/>
          <w:spacing w:val="0"/>
          <w:szCs w:val="26"/>
          <w:lang w:bidi="ar-SA"/>
        </w:rPr>
        <w:t>1</w:t>
      </w:r>
      <w:r w:rsidR="00E8004C">
        <w:rPr>
          <w:rFonts w:asciiTheme="majorHAnsi" w:eastAsiaTheme="majorEastAsia" w:hAnsiTheme="majorHAnsi" w:cstheme="majorBidi"/>
          <w:bCs/>
          <w:color w:val="004B8D"/>
          <w:spacing w:val="0"/>
          <w:szCs w:val="26"/>
          <w:lang w:bidi="ar-SA"/>
        </w:rPr>
        <w:t xml:space="preserve">.1 </w:t>
      </w:r>
      <w:r w:rsidR="00E8004C" w:rsidRPr="00E8004C">
        <w:rPr>
          <w:rFonts w:asciiTheme="majorHAnsi" w:eastAsiaTheme="majorEastAsia" w:hAnsiTheme="majorHAnsi" w:cstheme="majorBidi"/>
          <w:bCs/>
          <w:color w:val="004B8D"/>
          <w:spacing w:val="0"/>
          <w:szCs w:val="26"/>
          <w:lang w:bidi="ar-SA"/>
        </w:rPr>
        <w:t>Cíle evaluace</w:t>
      </w:r>
      <w:bookmarkEnd w:id="3"/>
    </w:p>
    <w:p w14:paraId="61C616E6" w14:textId="77777777" w:rsidR="0078648F" w:rsidRDefault="00A87B53" w:rsidP="008566B9">
      <w:pPr>
        <w:ind w:right="-567"/>
      </w:pPr>
      <w:r>
        <w:rPr>
          <w:lang w:bidi="ar-SA"/>
        </w:rPr>
        <w:t>Cílem evaluace je z</w:t>
      </w:r>
      <w:r>
        <w:t xml:space="preserve">hodnocení dosavadního pokroku při naplňování cílů </w:t>
      </w:r>
      <w:r w:rsidR="004F495D">
        <w:t xml:space="preserve">Národní </w:t>
      </w:r>
      <w:r>
        <w:t xml:space="preserve">RIS3 strategie v jednotlivých klíčových oblastech změn, resp. </w:t>
      </w:r>
      <w:r w:rsidR="00FE0206">
        <w:rPr>
          <w:lang w:bidi="ar-SA"/>
        </w:rPr>
        <w:t>vyhodnotit realizaci Národní RIS3 strategi</w:t>
      </w:r>
      <w:r>
        <w:rPr>
          <w:lang w:bidi="ar-SA"/>
        </w:rPr>
        <w:t>e</w:t>
      </w:r>
      <w:r w:rsidR="00FE0206">
        <w:rPr>
          <w:lang w:bidi="ar-SA"/>
        </w:rPr>
        <w:t xml:space="preserve"> z hlediska </w:t>
      </w:r>
      <w:r w:rsidR="00FE0206">
        <w:t xml:space="preserve">dosaženého </w:t>
      </w:r>
      <w:r>
        <w:t xml:space="preserve">věcného a finančního </w:t>
      </w:r>
      <w:r w:rsidR="00FE0206">
        <w:t>pokroku ve vztahu k naplňování stanovených cílů</w:t>
      </w:r>
      <w:r>
        <w:t xml:space="preserve">, včetně </w:t>
      </w:r>
      <w:r w:rsidR="00FE0206">
        <w:t>hodno</w:t>
      </w:r>
      <w:r>
        <w:t xml:space="preserve">cení </w:t>
      </w:r>
      <w:r w:rsidR="00FE0206">
        <w:t>systém</w:t>
      </w:r>
      <w:r>
        <w:t>u</w:t>
      </w:r>
      <w:r w:rsidR="00FE0206">
        <w:t xml:space="preserve"> implementace</w:t>
      </w:r>
      <w:r>
        <w:t xml:space="preserve">. </w:t>
      </w:r>
    </w:p>
    <w:p w14:paraId="07695EC2" w14:textId="77777777" w:rsidR="00A87B53" w:rsidRDefault="00A87B53" w:rsidP="00BA59FB">
      <w:pPr>
        <w:rPr>
          <w:lang w:bidi="ar-SA"/>
        </w:rPr>
      </w:pPr>
      <w:r>
        <w:rPr>
          <w:lang w:bidi="ar-SA"/>
        </w:rPr>
        <w:lastRenderedPageBreak/>
        <w:t xml:space="preserve">Předmětem evaluace je hodnocení ve čtyřech evaluačních okruzích: </w:t>
      </w:r>
    </w:p>
    <w:p w14:paraId="7064ECD9" w14:textId="77777777" w:rsidR="00A87B53" w:rsidRDefault="00A87B53" w:rsidP="00D10F0D">
      <w:pPr>
        <w:pStyle w:val="Odstavecseseznamem"/>
        <w:numPr>
          <w:ilvl w:val="0"/>
          <w:numId w:val="20"/>
        </w:numPr>
        <w:spacing w:before="0"/>
        <w:ind w:left="317" w:hanging="142"/>
      </w:pPr>
      <w:r>
        <w:t xml:space="preserve">Ověření aktuálnosti zacílení </w:t>
      </w:r>
      <w:r w:rsidR="00BB55BD">
        <w:t xml:space="preserve">Národní </w:t>
      </w:r>
      <w:r>
        <w:t xml:space="preserve">RIS3 </w:t>
      </w:r>
      <w:r w:rsidR="00BB55BD">
        <w:t xml:space="preserve">strategie </w:t>
      </w:r>
      <w:r>
        <w:t>ve vztahu k vývoji vnějšího prostředí</w:t>
      </w:r>
    </w:p>
    <w:p w14:paraId="6ADF3FC2" w14:textId="6EDAE30B" w:rsidR="00A87B53" w:rsidRDefault="00A87B53" w:rsidP="00D10F0D">
      <w:pPr>
        <w:pStyle w:val="Odstavecseseznamem"/>
        <w:numPr>
          <w:ilvl w:val="0"/>
          <w:numId w:val="20"/>
        </w:numPr>
        <w:spacing w:before="0"/>
        <w:ind w:left="317" w:right="-567" w:hanging="142"/>
      </w:pPr>
      <w:r>
        <w:t xml:space="preserve">Zhodnocení pokroku při naplňování </w:t>
      </w:r>
      <w:r w:rsidR="00BB55BD">
        <w:t xml:space="preserve">Národní </w:t>
      </w:r>
      <w:r>
        <w:t xml:space="preserve">RIS3 </w:t>
      </w:r>
      <w:r w:rsidR="00BB55BD">
        <w:t xml:space="preserve">strategie </w:t>
      </w:r>
      <w:r>
        <w:t>prostřednictvím ESIF programů a</w:t>
      </w:r>
      <w:r w:rsidR="00477FCA">
        <w:t> </w:t>
      </w:r>
      <w:r>
        <w:t>národních programů podpory</w:t>
      </w:r>
    </w:p>
    <w:p w14:paraId="119DEA4B" w14:textId="77777777" w:rsidR="00A87B53" w:rsidRDefault="00A87B53" w:rsidP="00D10F0D">
      <w:pPr>
        <w:pStyle w:val="Odstavecseseznamem"/>
        <w:numPr>
          <w:ilvl w:val="0"/>
          <w:numId w:val="20"/>
        </w:numPr>
        <w:spacing w:before="0"/>
        <w:ind w:left="317" w:hanging="142"/>
      </w:pPr>
      <w:r>
        <w:t>Naplňování krajských RIS3 strategií</w:t>
      </w:r>
    </w:p>
    <w:p w14:paraId="7231F99D" w14:textId="77777777" w:rsidR="00A87B53" w:rsidRDefault="00A87B53" w:rsidP="00D10F0D">
      <w:pPr>
        <w:pStyle w:val="Odstavecseseznamem"/>
        <w:numPr>
          <w:ilvl w:val="0"/>
          <w:numId w:val="20"/>
        </w:numPr>
        <w:spacing w:before="0"/>
        <w:ind w:left="317" w:hanging="142"/>
      </w:pPr>
      <w:r>
        <w:t xml:space="preserve">Vyhodnocení fungování systému implementace </w:t>
      </w:r>
      <w:r w:rsidR="00BB55BD">
        <w:t xml:space="preserve">Národní </w:t>
      </w:r>
      <w:r>
        <w:t>RIS3</w:t>
      </w:r>
      <w:r w:rsidR="00BB55BD">
        <w:t xml:space="preserve"> strategie</w:t>
      </w:r>
    </w:p>
    <w:p w14:paraId="0241E8FC" w14:textId="77777777" w:rsidR="00A87B53" w:rsidRPr="008566B9" w:rsidRDefault="008566B9" w:rsidP="00685606">
      <w:pPr>
        <w:spacing w:after="0"/>
        <w:rPr>
          <w:lang w:bidi="ar-SA"/>
        </w:rPr>
      </w:pPr>
      <w:r w:rsidRPr="008566B9">
        <w:rPr>
          <w:lang w:bidi="ar-SA"/>
        </w:rPr>
        <w:t>S</w:t>
      </w:r>
      <w:r>
        <w:rPr>
          <w:lang w:bidi="ar-SA"/>
        </w:rPr>
        <w:t> </w:t>
      </w:r>
      <w:r w:rsidRPr="008566B9">
        <w:rPr>
          <w:lang w:bidi="ar-SA"/>
        </w:rPr>
        <w:t>o</w:t>
      </w:r>
      <w:r>
        <w:rPr>
          <w:lang w:bidi="ar-SA"/>
        </w:rPr>
        <w:t xml:space="preserve">hledem na dosud relativně krátkou fázi implementace (2016 – 2018) si evaluace neklade ambice hodnotit </w:t>
      </w:r>
      <w:r w:rsidR="00CB7F70">
        <w:rPr>
          <w:lang w:bidi="ar-SA"/>
        </w:rPr>
        <w:t>výsledky a dopady realizovaných intervencí v oblasti inovačního potenciálu jednotlivých</w:t>
      </w:r>
      <w:r w:rsidR="007E7305">
        <w:rPr>
          <w:lang w:bidi="ar-SA"/>
        </w:rPr>
        <w:t xml:space="preserve"> sektor</w:t>
      </w:r>
      <w:r w:rsidR="00CB7F70">
        <w:rPr>
          <w:lang w:bidi="ar-SA"/>
        </w:rPr>
        <w:t>ů</w:t>
      </w:r>
      <w:r w:rsidR="007E7305">
        <w:rPr>
          <w:lang w:bidi="ar-SA"/>
        </w:rPr>
        <w:t xml:space="preserve"> národního hospodářství. </w:t>
      </w:r>
      <w:r w:rsidR="00FE6910">
        <w:rPr>
          <w:lang w:bidi="ar-SA"/>
        </w:rPr>
        <w:t xml:space="preserve">S ohledem na počínající přípravy </w:t>
      </w:r>
      <w:r w:rsidR="0020620F">
        <w:rPr>
          <w:lang w:bidi="ar-SA"/>
        </w:rPr>
        <w:t xml:space="preserve">nového programového období, resp. </w:t>
      </w:r>
      <w:r w:rsidR="00FE6910">
        <w:rPr>
          <w:lang w:bidi="ar-SA"/>
        </w:rPr>
        <w:t xml:space="preserve">strategie 2021+ se </w:t>
      </w:r>
      <w:r w:rsidR="0020620F">
        <w:rPr>
          <w:lang w:bidi="ar-SA"/>
        </w:rPr>
        <w:t xml:space="preserve">hodnocení </w:t>
      </w:r>
      <w:r w:rsidR="007E7305">
        <w:rPr>
          <w:lang w:bidi="ar-SA"/>
        </w:rPr>
        <w:t xml:space="preserve">zaměřuje převážně na </w:t>
      </w:r>
      <w:r w:rsidR="00FE6910">
        <w:rPr>
          <w:lang w:bidi="ar-SA"/>
        </w:rPr>
        <w:t xml:space="preserve">celkové nastavení systému Národní RIS3 strategie s cílem identifikovat případné slabé stránky a </w:t>
      </w:r>
      <w:r w:rsidR="00B62A9B">
        <w:rPr>
          <w:lang w:bidi="ar-SA"/>
        </w:rPr>
        <w:t xml:space="preserve">bariéry, které ovlivňují průběh realizace Národní RIS3 strategie a </w:t>
      </w:r>
      <w:r w:rsidR="00FE6910">
        <w:rPr>
          <w:lang w:bidi="ar-SA"/>
        </w:rPr>
        <w:t xml:space="preserve">navrhnout doporučení pro další programové období. </w:t>
      </w:r>
      <w:r w:rsidR="007E7305">
        <w:rPr>
          <w:lang w:bidi="ar-SA"/>
        </w:rPr>
        <w:t xml:space="preserve"> </w:t>
      </w:r>
      <w:r>
        <w:rPr>
          <w:lang w:bidi="ar-SA"/>
        </w:rPr>
        <w:t xml:space="preserve"> </w:t>
      </w:r>
    </w:p>
    <w:p w14:paraId="3593C338" w14:textId="77777777" w:rsidR="00FE6910" w:rsidRPr="00685606" w:rsidRDefault="00FE6910" w:rsidP="00685606">
      <w:pPr>
        <w:pStyle w:val="Nadpis2"/>
        <w:keepNext/>
        <w:keepLines/>
        <w:numPr>
          <w:ilvl w:val="0"/>
          <w:numId w:val="0"/>
        </w:numPr>
        <w:pBdr>
          <w:top w:val="none" w:sz="0" w:space="0" w:color="auto"/>
          <w:left w:val="none" w:sz="0" w:space="0" w:color="auto"/>
        </w:pBdr>
        <w:shd w:val="clear" w:color="auto" w:fill="auto"/>
        <w:spacing w:before="120" w:after="0"/>
        <w:jc w:val="left"/>
        <w:rPr>
          <w:rFonts w:asciiTheme="majorHAnsi" w:eastAsiaTheme="majorEastAsia" w:hAnsiTheme="majorHAnsi" w:cstheme="majorBidi"/>
          <w:bCs/>
          <w:color w:val="004B8D"/>
          <w:spacing w:val="0"/>
          <w:sz w:val="22"/>
          <w:lang w:bidi="ar-SA"/>
        </w:rPr>
      </w:pPr>
    </w:p>
    <w:p w14:paraId="00B5139E" w14:textId="77777777" w:rsidR="00A87B53" w:rsidRPr="00E8004C" w:rsidRDefault="00A95FFF" w:rsidP="00A87B53">
      <w:pPr>
        <w:pStyle w:val="Nadpis2"/>
        <w:keepNext/>
        <w:keepLines/>
        <w:numPr>
          <w:ilvl w:val="0"/>
          <w:numId w:val="0"/>
        </w:numPr>
        <w:pBdr>
          <w:top w:val="none" w:sz="0" w:space="0" w:color="auto"/>
          <w:left w:val="none" w:sz="0" w:space="0" w:color="auto"/>
        </w:pBdr>
        <w:shd w:val="clear" w:color="auto" w:fill="auto"/>
        <w:spacing w:before="200" w:after="0"/>
        <w:jc w:val="left"/>
        <w:rPr>
          <w:rFonts w:asciiTheme="majorHAnsi" w:eastAsiaTheme="majorEastAsia" w:hAnsiTheme="majorHAnsi" w:cstheme="majorBidi"/>
          <w:bCs/>
          <w:color w:val="004B8D"/>
          <w:spacing w:val="0"/>
          <w:szCs w:val="26"/>
          <w:lang w:bidi="ar-SA"/>
        </w:rPr>
      </w:pPr>
      <w:bookmarkStart w:id="7" w:name="_Toc5626436"/>
      <w:r>
        <w:rPr>
          <w:rFonts w:asciiTheme="majorHAnsi" w:eastAsiaTheme="majorEastAsia" w:hAnsiTheme="majorHAnsi" w:cstheme="majorBidi"/>
          <w:bCs/>
          <w:color w:val="004B8D"/>
          <w:spacing w:val="0"/>
          <w:szCs w:val="26"/>
          <w:lang w:bidi="ar-SA"/>
        </w:rPr>
        <w:t>1</w:t>
      </w:r>
      <w:r w:rsidR="00A87B53">
        <w:rPr>
          <w:rFonts w:asciiTheme="majorHAnsi" w:eastAsiaTheme="majorEastAsia" w:hAnsiTheme="majorHAnsi" w:cstheme="majorBidi"/>
          <w:bCs/>
          <w:color w:val="004B8D"/>
          <w:spacing w:val="0"/>
          <w:szCs w:val="26"/>
          <w:lang w:bidi="ar-SA"/>
        </w:rPr>
        <w:t>.2 Průběh evaluace a metodická specifikace</w:t>
      </w:r>
      <w:bookmarkEnd w:id="7"/>
    </w:p>
    <w:p w14:paraId="3DBE3777" w14:textId="77777777" w:rsidR="00FE6910" w:rsidRDefault="00FE6910" w:rsidP="00CB2813">
      <w:pPr>
        <w:spacing w:before="0" w:after="0"/>
      </w:pPr>
    </w:p>
    <w:p w14:paraId="4562AA5F" w14:textId="77777777" w:rsidR="00476621" w:rsidRDefault="00FE6910" w:rsidP="00A87B53">
      <w:pPr>
        <w:spacing w:before="0"/>
      </w:pPr>
      <w:r>
        <w:t xml:space="preserve">Evaluace byla realizována </w:t>
      </w:r>
      <w:r w:rsidR="00E03E9F">
        <w:t>interně (</w:t>
      </w:r>
      <w:r>
        <w:t xml:space="preserve">v rámci interního týmu </w:t>
      </w:r>
      <w:r w:rsidR="00E03E9F">
        <w:t>O</w:t>
      </w:r>
      <w:r>
        <w:t>ddělení strategie</w:t>
      </w:r>
      <w:r w:rsidR="00E03E9F">
        <w:t xml:space="preserve"> S3 na</w:t>
      </w:r>
      <w:r>
        <w:t xml:space="preserve"> MPO</w:t>
      </w:r>
      <w:r w:rsidR="00E03E9F">
        <w:t>)</w:t>
      </w:r>
      <w:r>
        <w:t xml:space="preserve"> a to </w:t>
      </w:r>
      <w:r w:rsidR="00E03E9F">
        <w:t xml:space="preserve">rozšířením týmu o evaluátora. Evaluace </w:t>
      </w:r>
      <w:r w:rsidR="00476621">
        <w:t>probíhala v období 06/</w:t>
      </w:r>
      <w:r w:rsidR="0098036C">
        <w:t>2018</w:t>
      </w:r>
      <w:r w:rsidR="00476621">
        <w:t xml:space="preserve"> –</w:t>
      </w:r>
      <w:r w:rsidR="00E37DFD">
        <w:t xml:space="preserve"> 0</w:t>
      </w:r>
      <w:r w:rsidR="004F495D">
        <w:t>4</w:t>
      </w:r>
      <w:r w:rsidR="00E37DFD">
        <w:t xml:space="preserve">/2019, byly použity kvantitativní i kvalitativní metody sběru a analýzy dat. </w:t>
      </w:r>
    </w:p>
    <w:p w14:paraId="752ED128" w14:textId="77777777" w:rsidR="00805A76" w:rsidRDefault="00605061" w:rsidP="00805A76">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bookmarkStart w:id="8" w:name="_Toc5626437"/>
      <w:r>
        <w:rPr>
          <w:rFonts w:asciiTheme="majorHAnsi" w:eastAsiaTheme="majorEastAsia" w:hAnsiTheme="majorHAnsi" w:cstheme="majorHAnsi"/>
          <w:i/>
          <w:caps/>
          <w:color w:val="004B8D"/>
          <w:spacing w:val="0"/>
          <w:sz w:val="22"/>
          <w:lang w:bidi="ar-SA"/>
        </w:rPr>
        <w:t xml:space="preserve">1.2.1 </w:t>
      </w:r>
      <w:r w:rsidR="00805A76" w:rsidRPr="00BA59FB">
        <w:rPr>
          <w:rFonts w:asciiTheme="majorHAnsi" w:eastAsiaTheme="majorEastAsia" w:hAnsiTheme="majorHAnsi" w:cstheme="majorHAnsi"/>
          <w:i/>
          <w:caps/>
          <w:color w:val="004B8D"/>
          <w:spacing w:val="0"/>
          <w:sz w:val="22"/>
          <w:lang w:bidi="ar-SA"/>
        </w:rPr>
        <w:t>Harmonogram evaluace</w:t>
      </w:r>
      <w:bookmarkEnd w:id="8"/>
    </w:p>
    <w:p w14:paraId="201AD2C9" w14:textId="77777777" w:rsidR="00505E60" w:rsidRPr="00505E60" w:rsidRDefault="00505E60" w:rsidP="00505E60">
      <w:pPr>
        <w:rPr>
          <w:lang w:bidi="ar-SA"/>
        </w:rPr>
      </w:pPr>
      <w:bookmarkStart w:id="9" w:name="_Toc5626510"/>
      <w:bookmarkStart w:id="10" w:name="_Ref4422428"/>
      <w:bookmarkStart w:id="11" w:name="_Ref4422394"/>
      <w:r w:rsidRPr="00C64D59">
        <w:rPr>
          <w:rFonts w:cs="Arial-ItalicMT"/>
          <w:b/>
          <w:iCs/>
          <w:szCs w:val="22"/>
        </w:rPr>
        <w:t xml:space="preserve">Tabulka č. </w:t>
      </w:r>
      <w:r w:rsidR="008A090D" w:rsidRPr="00C64D59">
        <w:rPr>
          <w:rFonts w:cs="Arial-ItalicMT"/>
          <w:b/>
          <w:iCs/>
          <w:szCs w:val="22"/>
        </w:rPr>
        <w:fldChar w:fldCharType="begin"/>
      </w:r>
      <w:r w:rsidRPr="00C64D59">
        <w:rPr>
          <w:rFonts w:cs="Arial-ItalicMT"/>
          <w:b/>
          <w:iCs/>
          <w:szCs w:val="22"/>
        </w:rPr>
        <w:instrText xml:space="preserve"> SEQ Tabulka_č._ \* ARABIC </w:instrText>
      </w:r>
      <w:r w:rsidR="008A090D" w:rsidRPr="00C64D59">
        <w:rPr>
          <w:rFonts w:cs="Arial-ItalicMT"/>
          <w:b/>
          <w:iCs/>
          <w:szCs w:val="22"/>
        </w:rPr>
        <w:fldChar w:fldCharType="separate"/>
      </w:r>
      <w:r w:rsidR="002309D5">
        <w:rPr>
          <w:rFonts w:cs="Arial-ItalicMT"/>
          <w:b/>
          <w:iCs/>
          <w:noProof/>
          <w:szCs w:val="22"/>
        </w:rPr>
        <w:t>1</w:t>
      </w:r>
      <w:r w:rsidR="008A090D" w:rsidRPr="00C64D59">
        <w:rPr>
          <w:rFonts w:cs="Arial-ItalicMT"/>
          <w:b/>
          <w:iCs/>
          <w:szCs w:val="22"/>
        </w:rPr>
        <w:fldChar w:fldCharType="end"/>
      </w:r>
      <w:r w:rsidRPr="00C64D59">
        <w:rPr>
          <w:rFonts w:cs="Arial-ItalicMT"/>
          <w:b/>
          <w:iCs/>
          <w:szCs w:val="22"/>
        </w:rPr>
        <w:t xml:space="preserve"> -</w:t>
      </w:r>
      <w:r w:rsidRPr="00D66402">
        <w:rPr>
          <w:rFonts w:cs="Arial-ItalicMT"/>
          <w:iCs/>
          <w:szCs w:val="22"/>
        </w:rPr>
        <w:t xml:space="preserve"> </w:t>
      </w:r>
      <w:r w:rsidRPr="00505E60">
        <w:rPr>
          <w:i/>
        </w:rPr>
        <w:t>Harmonogram evaluace</w:t>
      </w:r>
      <w:bookmarkEnd w:id="9"/>
    </w:p>
    <w:tbl>
      <w:tblPr>
        <w:tblStyle w:val="Svtlseznamzvraznn12"/>
        <w:tblW w:w="0" w:type="auto"/>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5437"/>
        <w:gridCol w:w="3517"/>
      </w:tblGrid>
      <w:tr w:rsidR="00476621" w:rsidRPr="00476621" w14:paraId="2D1B3689" w14:textId="77777777" w:rsidTr="00E37D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9" w:type="dxa"/>
          </w:tcPr>
          <w:bookmarkEnd w:id="10"/>
          <w:bookmarkEnd w:id="11"/>
          <w:p w14:paraId="4015282F" w14:textId="77777777" w:rsidR="00476621" w:rsidRPr="00476621" w:rsidRDefault="00476621" w:rsidP="00E37DFD">
            <w:pPr>
              <w:spacing w:before="0" w:after="0" w:line="240" w:lineRule="auto"/>
              <w:rPr>
                <w:rFonts w:cs="Calibri"/>
              </w:rPr>
            </w:pPr>
            <w:r>
              <w:rPr>
                <w:rFonts w:cs="Calibri"/>
              </w:rPr>
              <w:t>Aktivita</w:t>
            </w:r>
          </w:p>
        </w:tc>
        <w:tc>
          <w:tcPr>
            <w:tcW w:w="3575" w:type="dxa"/>
          </w:tcPr>
          <w:p w14:paraId="06B371A3" w14:textId="77777777" w:rsidR="00476621" w:rsidRPr="00476621" w:rsidRDefault="00476621" w:rsidP="00E37DFD">
            <w:pPr>
              <w:spacing w:before="0" w:after="0" w:line="240" w:lineRule="auto"/>
              <w:cnfStyle w:val="100000000000" w:firstRow="1" w:lastRow="0" w:firstColumn="0" w:lastColumn="0" w:oddVBand="0" w:evenVBand="0" w:oddHBand="0" w:evenHBand="0" w:firstRowFirstColumn="0" w:firstRowLastColumn="0" w:lastRowFirstColumn="0" w:lastRowLastColumn="0"/>
              <w:rPr>
                <w:rFonts w:cs="Calibri"/>
              </w:rPr>
            </w:pPr>
            <w:r>
              <w:rPr>
                <w:rFonts w:cs="Calibri"/>
              </w:rPr>
              <w:t>Termín</w:t>
            </w:r>
          </w:p>
        </w:tc>
      </w:tr>
      <w:tr w:rsidR="00476621" w:rsidRPr="00476621" w14:paraId="6D775FFB" w14:textId="77777777" w:rsidTr="00B066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9" w:type="dxa"/>
            <w:shd w:val="clear" w:color="auto" w:fill="auto"/>
          </w:tcPr>
          <w:p w14:paraId="0807E1B7" w14:textId="77777777" w:rsidR="00476621" w:rsidRPr="00476621" w:rsidRDefault="00476621" w:rsidP="00E37DFD">
            <w:pPr>
              <w:spacing w:before="0" w:after="0" w:line="240" w:lineRule="auto"/>
              <w:rPr>
                <w:rFonts w:cs="Calibri"/>
                <w:b w:val="0"/>
              </w:rPr>
            </w:pPr>
            <w:r w:rsidRPr="00476621">
              <w:rPr>
                <w:rFonts w:cs="Calibri"/>
                <w:b w:val="0"/>
              </w:rPr>
              <w:t>Zahájení evaluace</w:t>
            </w:r>
          </w:p>
        </w:tc>
        <w:tc>
          <w:tcPr>
            <w:tcW w:w="3575" w:type="dxa"/>
            <w:shd w:val="clear" w:color="auto" w:fill="auto"/>
          </w:tcPr>
          <w:p w14:paraId="316AE8F2" w14:textId="77777777" w:rsidR="00476621" w:rsidRPr="00476621" w:rsidRDefault="00E37DFD" w:rsidP="00E37DFD">
            <w:pPr>
              <w:spacing w:before="0" w:after="0" w:line="240" w:lineRule="auto"/>
              <w:cnfStyle w:val="000000100000" w:firstRow="0" w:lastRow="0" w:firstColumn="0" w:lastColumn="0" w:oddVBand="0" w:evenVBand="0" w:oddHBand="1" w:evenHBand="0" w:firstRowFirstColumn="0" w:firstRowLastColumn="0" w:lastRowFirstColumn="0" w:lastRowLastColumn="0"/>
              <w:rPr>
                <w:rFonts w:cs="Calibri"/>
              </w:rPr>
            </w:pPr>
            <w:r>
              <w:rPr>
                <w:rFonts w:cs="Calibri"/>
              </w:rPr>
              <w:t>06/</w:t>
            </w:r>
            <w:r w:rsidR="00476621">
              <w:rPr>
                <w:rFonts w:cs="Calibri"/>
              </w:rPr>
              <w:t>2018</w:t>
            </w:r>
          </w:p>
        </w:tc>
      </w:tr>
      <w:tr w:rsidR="00E37DFD" w:rsidRPr="00E37DFD" w14:paraId="2D22C0A1" w14:textId="77777777" w:rsidTr="00B0666C">
        <w:tc>
          <w:tcPr>
            <w:cnfStyle w:val="001000000000" w:firstRow="0" w:lastRow="0" w:firstColumn="1" w:lastColumn="0" w:oddVBand="0" w:evenVBand="0" w:oddHBand="0" w:evenHBand="0" w:firstRowFirstColumn="0" w:firstRowLastColumn="0" w:lastRowFirstColumn="0" w:lastRowLastColumn="0"/>
            <w:tcW w:w="5529" w:type="dxa"/>
            <w:shd w:val="clear" w:color="auto" w:fill="auto"/>
          </w:tcPr>
          <w:p w14:paraId="17AA18BF" w14:textId="77777777" w:rsidR="00E37DFD" w:rsidRPr="00E37DFD" w:rsidRDefault="00E37DFD" w:rsidP="00E37DFD">
            <w:pPr>
              <w:spacing w:before="0" w:after="0" w:line="240" w:lineRule="auto"/>
              <w:rPr>
                <w:rFonts w:cs="Calibri"/>
                <w:b w:val="0"/>
              </w:rPr>
            </w:pPr>
            <w:r w:rsidRPr="00E37DFD">
              <w:rPr>
                <w:rFonts w:cs="Calibri"/>
                <w:b w:val="0"/>
              </w:rPr>
              <w:t xml:space="preserve">Analýza </w:t>
            </w:r>
            <w:r>
              <w:rPr>
                <w:rFonts w:cs="Calibri"/>
                <w:b w:val="0"/>
              </w:rPr>
              <w:t>dokumentů</w:t>
            </w:r>
          </w:p>
        </w:tc>
        <w:tc>
          <w:tcPr>
            <w:tcW w:w="3575" w:type="dxa"/>
            <w:shd w:val="clear" w:color="auto" w:fill="auto"/>
          </w:tcPr>
          <w:p w14:paraId="738414E6" w14:textId="77777777" w:rsidR="00E37DFD" w:rsidRPr="00E37DFD" w:rsidRDefault="00E37DFD" w:rsidP="00E37DFD">
            <w:pPr>
              <w:spacing w:before="0" w:after="0" w:line="240" w:lineRule="auto"/>
              <w:cnfStyle w:val="000000000000" w:firstRow="0" w:lastRow="0" w:firstColumn="0" w:lastColumn="0" w:oddVBand="0" w:evenVBand="0" w:oddHBand="0" w:evenHBand="0" w:firstRowFirstColumn="0" w:firstRowLastColumn="0" w:lastRowFirstColumn="0" w:lastRowLastColumn="0"/>
              <w:rPr>
                <w:rFonts w:cs="Calibri"/>
              </w:rPr>
            </w:pPr>
            <w:r>
              <w:rPr>
                <w:rFonts w:cs="Calibri"/>
              </w:rPr>
              <w:t>Průběžně po celou dobu evaluace</w:t>
            </w:r>
          </w:p>
        </w:tc>
      </w:tr>
      <w:tr w:rsidR="00476621" w:rsidRPr="00476621" w14:paraId="09D0D393" w14:textId="77777777" w:rsidTr="00B066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9" w:type="dxa"/>
            <w:shd w:val="clear" w:color="auto" w:fill="auto"/>
          </w:tcPr>
          <w:p w14:paraId="2944AABE" w14:textId="77777777" w:rsidR="00476621" w:rsidRPr="00476621" w:rsidRDefault="00476621" w:rsidP="00E37DFD">
            <w:pPr>
              <w:spacing w:before="0" w:after="0" w:line="240" w:lineRule="auto"/>
              <w:rPr>
                <w:rFonts w:cs="Calibri"/>
                <w:b w:val="0"/>
              </w:rPr>
            </w:pPr>
            <w:r>
              <w:rPr>
                <w:rFonts w:cs="Calibri"/>
                <w:b w:val="0"/>
              </w:rPr>
              <w:t>Příprava evaluačního designu, včetně designu dotazníkových šetření</w:t>
            </w:r>
            <w:r w:rsidR="00E37DFD">
              <w:rPr>
                <w:rStyle w:val="Znakapoznpodarou"/>
              </w:rPr>
              <w:footnoteReference w:id="5"/>
            </w:r>
          </w:p>
        </w:tc>
        <w:tc>
          <w:tcPr>
            <w:tcW w:w="3575" w:type="dxa"/>
            <w:shd w:val="clear" w:color="auto" w:fill="auto"/>
          </w:tcPr>
          <w:p w14:paraId="4A571516" w14:textId="77777777" w:rsidR="00476621" w:rsidRPr="00476621" w:rsidRDefault="00E37DFD" w:rsidP="00E37DFD">
            <w:pPr>
              <w:spacing w:before="0" w:after="0" w:line="240" w:lineRule="auto"/>
              <w:cnfStyle w:val="000000100000" w:firstRow="0" w:lastRow="0" w:firstColumn="0" w:lastColumn="0" w:oddVBand="0" w:evenVBand="0" w:oddHBand="1" w:evenHBand="0" w:firstRowFirstColumn="0" w:firstRowLastColumn="0" w:lastRowFirstColumn="0" w:lastRowLastColumn="0"/>
              <w:rPr>
                <w:rFonts w:cs="Calibri"/>
              </w:rPr>
            </w:pPr>
            <w:r>
              <w:rPr>
                <w:rFonts w:cs="Calibri"/>
              </w:rPr>
              <w:t>06/</w:t>
            </w:r>
            <w:r w:rsidR="00476621">
              <w:rPr>
                <w:rFonts w:cs="Calibri"/>
              </w:rPr>
              <w:t>2018</w:t>
            </w:r>
          </w:p>
        </w:tc>
      </w:tr>
      <w:tr w:rsidR="00476621" w:rsidRPr="00476621" w14:paraId="30D3C83B" w14:textId="77777777" w:rsidTr="00B0666C">
        <w:tc>
          <w:tcPr>
            <w:cnfStyle w:val="001000000000" w:firstRow="0" w:lastRow="0" w:firstColumn="1" w:lastColumn="0" w:oddVBand="0" w:evenVBand="0" w:oddHBand="0" w:evenHBand="0" w:firstRowFirstColumn="0" w:firstRowLastColumn="0" w:lastRowFirstColumn="0" w:lastRowLastColumn="0"/>
            <w:tcW w:w="5529" w:type="dxa"/>
            <w:shd w:val="clear" w:color="auto" w:fill="auto"/>
          </w:tcPr>
          <w:p w14:paraId="2B515511" w14:textId="77777777" w:rsidR="00476621" w:rsidRPr="00476621" w:rsidRDefault="00E37DFD" w:rsidP="00E37DFD">
            <w:pPr>
              <w:spacing w:before="0" w:after="0" w:line="240" w:lineRule="auto"/>
              <w:rPr>
                <w:rFonts w:cs="Calibri"/>
                <w:b w:val="0"/>
              </w:rPr>
            </w:pPr>
            <w:r>
              <w:rPr>
                <w:rFonts w:cs="Calibri"/>
                <w:b w:val="0"/>
              </w:rPr>
              <w:t>Technická příprava dotazníkových šetření (struktura dotazníků a znění otázek, programování do webové aplikace, adresáře respondentů)</w:t>
            </w:r>
          </w:p>
        </w:tc>
        <w:tc>
          <w:tcPr>
            <w:tcW w:w="3575" w:type="dxa"/>
            <w:shd w:val="clear" w:color="auto" w:fill="auto"/>
          </w:tcPr>
          <w:p w14:paraId="6A393C86" w14:textId="77777777" w:rsidR="00476621" w:rsidRPr="00476621" w:rsidRDefault="00E37DFD" w:rsidP="00E37DFD">
            <w:pPr>
              <w:spacing w:before="0" w:after="0" w:line="240" w:lineRule="auto"/>
              <w:cnfStyle w:val="000000000000" w:firstRow="0" w:lastRow="0" w:firstColumn="0" w:lastColumn="0" w:oddVBand="0" w:evenVBand="0" w:oddHBand="0" w:evenHBand="0" w:firstRowFirstColumn="0" w:firstRowLastColumn="0" w:lastRowFirstColumn="0" w:lastRowLastColumn="0"/>
              <w:rPr>
                <w:rFonts w:cs="Calibri"/>
              </w:rPr>
            </w:pPr>
            <w:r>
              <w:rPr>
                <w:rFonts w:cs="Calibri"/>
              </w:rPr>
              <w:t>08/2018 – 10/2018</w:t>
            </w:r>
          </w:p>
        </w:tc>
      </w:tr>
      <w:tr w:rsidR="00476621" w:rsidRPr="00476621" w14:paraId="07341D4F" w14:textId="77777777" w:rsidTr="00B066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9" w:type="dxa"/>
            <w:shd w:val="clear" w:color="auto" w:fill="auto"/>
          </w:tcPr>
          <w:p w14:paraId="47B55A52" w14:textId="77777777" w:rsidR="00476621" w:rsidRPr="00476621" w:rsidRDefault="00E37DFD" w:rsidP="00E37DFD">
            <w:pPr>
              <w:spacing w:before="0" w:after="0" w:line="240" w:lineRule="auto"/>
              <w:rPr>
                <w:rFonts w:cs="Calibri"/>
                <w:b w:val="0"/>
              </w:rPr>
            </w:pPr>
            <w:r>
              <w:rPr>
                <w:rFonts w:cs="Calibri"/>
                <w:b w:val="0"/>
              </w:rPr>
              <w:t>Realizace dotazníkového šetření</w:t>
            </w:r>
          </w:p>
        </w:tc>
        <w:tc>
          <w:tcPr>
            <w:tcW w:w="3575" w:type="dxa"/>
            <w:shd w:val="clear" w:color="auto" w:fill="auto"/>
          </w:tcPr>
          <w:p w14:paraId="1356E24B" w14:textId="77777777" w:rsidR="00476621" w:rsidRPr="00476621" w:rsidRDefault="00E37DFD" w:rsidP="00E37DFD">
            <w:pPr>
              <w:spacing w:before="0" w:after="0" w:line="240" w:lineRule="auto"/>
              <w:cnfStyle w:val="000000100000" w:firstRow="0" w:lastRow="0" w:firstColumn="0" w:lastColumn="0" w:oddVBand="0" w:evenVBand="0" w:oddHBand="1" w:evenHBand="0" w:firstRowFirstColumn="0" w:firstRowLastColumn="0" w:lastRowFirstColumn="0" w:lastRowLastColumn="0"/>
              <w:rPr>
                <w:rFonts w:cs="Calibri"/>
              </w:rPr>
            </w:pPr>
            <w:r>
              <w:rPr>
                <w:rFonts w:cs="Calibri"/>
              </w:rPr>
              <w:t>11/2018 – 12/2018</w:t>
            </w:r>
          </w:p>
        </w:tc>
      </w:tr>
      <w:tr w:rsidR="00476621" w:rsidRPr="00476621" w14:paraId="56FAAB93" w14:textId="77777777" w:rsidTr="00B0666C">
        <w:tc>
          <w:tcPr>
            <w:cnfStyle w:val="001000000000" w:firstRow="0" w:lastRow="0" w:firstColumn="1" w:lastColumn="0" w:oddVBand="0" w:evenVBand="0" w:oddHBand="0" w:evenHBand="0" w:firstRowFirstColumn="0" w:firstRowLastColumn="0" w:lastRowFirstColumn="0" w:lastRowLastColumn="0"/>
            <w:tcW w:w="5529" w:type="dxa"/>
            <w:shd w:val="clear" w:color="auto" w:fill="auto"/>
          </w:tcPr>
          <w:p w14:paraId="75550CCE" w14:textId="77777777" w:rsidR="00476621" w:rsidRPr="00476621" w:rsidRDefault="00E37DFD" w:rsidP="00E37DFD">
            <w:pPr>
              <w:spacing w:before="0" w:after="0" w:line="240" w:lineRule="auto"/>
              <w:rPr>
                <w:rFonts w:cs="Calibri"/>
                <w:b w:val="0"/>
              </w:rPr>
            </w:pPr>
            <w:r>
              <w:rPr>
                <w:rFonts w:cs="Calibri"/>
                <w:b w:val="0"/>
              </w:rPr>
              <w:t>Evaluační rozhovory</w:t>
            </w:r>
          </w:p>
        </w:tc>
        <w:tc>
          <w:tcPr>
            <w:tcW w:w="3575" w:type="dxa"/>
            <w:shd w:val="clear" w:color="auto" w:fill="auto"/>
          </w:tcPr>
          <w:p w14:paraId="5AD92203" w14:textId="77777777" w:rsidR="00476621" w:rsidRPr="00476621" w:rsidRDefault="00E37DFD" w:rsidP="00E37DFD">
            <w:pPr>
              <w:spacing w:before="0" w:after="0" w:line="240" w:lineRule="auto"/>
              <w:cnfStyle w:val="000000000000" w:firstRow="0" w:lastRow="0" w:firstColumn="0" w:lastColumn="0" w:oddVBand="0" w:evenVBand="0" w:oddHBand="0" w:evenHBand="0" w:firstRowFirstColumn="0" w:firstRowLastColumn="0" w:lastRowFirstColumn="0" w:lastRowLastColumn="0"/>
              <w:rPr>
                <w:rFonts w:cs="Calibri"/>
              </w:rPr>
            </w:pPr>
            <w:r>
              <w:rPr>
                <w:rFonts w:cs="Calibri"/>
              </w:rPr>
              <w:t>01/2019 – 03/2019</w:t>
            </w:r>
          </w:p>
        </w:tc>
      </w:tr>
      <w:tr w:rsidR="00476621" w:rsidRPr="00476621" w14:paraId="6621DAD1" w14:textId="77777777" w:rsidTr="00B066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9" w:type="dxa"/>
            <w:shd w:val="clear" w:color="auto" w:fill="auto"/>
          </w:tcPr>
          <w:p w14:paraId="6995021D" w14:textId="77777777" w:rsidR="00476621" w:rsidRPr="00476621" w:rsidRDefault="00E37DFD" w:rsidP="00E37DFD">
            <w:pPr>
              <w:spacing w:before="0" w:after="0" w:line="240" w:lineRule="auto"/>
              <w:rPr>
                <w:rFonts w:cs="Calibri"/>
                <w:b w:val="0"/>
              </w:rPr>
            </w:pPr>
            <w:r>
              <w:rPr>
                <w:rFonts w:cs="Calibri"/>
                <w:b w:val="0"/>
              </w:rPr>
              <w:t xml:space="preserve">Prezentace průběžných výsledků MAPS, ŘV RIS3, </w:t>
            </w:r>
            <w:r w:rsidR="00366560">
              <w:rPr>
                <w:rFonts w:cs="Calibri"/>
                <w:b w:val="0"/>
              </w:rPr>
              <w:t>zástupcům krajů</w:t>
            </w:r>
          </w:p>
        </w:tc>
        <w:tc>
          <w:tcPr>
            <w:tcW w:w="3575" w:type="dxa"/>
            <w:shd w:val="clear" w:color="auto" w:fill="auto"/>
          </w:tcPr>
          <w:p w14:paraId="147EF8F7" w14:textId="77777777" w:rsidR="00476621" w:rsidRPr="00476621" w:rsidRDefault="00366560" w:rsidP="00E37DFD">
            <w:pPr>
              <w:spacing w:before="0" w:after="0" w:line="240" w:lineRule="auto"/>
              <w:cnfStyle w:val="000000100000" w:firstRow="0" w:lastRow="0" w:firstColumn="0" w:lastColumn="0" w:oddVBand="0" w:evenVBand="0" w:oddHBand="1" w:evenHBand="0" w:firstRowFirstColumn="0" w:firstRowLastColumn="0" w:lastRowFirstColumn="0" w:lastRowLastColumn="0"/>
              <w:rPr>
                <w:rFonts w:cs="Calibri"/>
              </w:rPr>
            </w:pPr>
            <w:r>
              <w:rPr>
                <w:rFonts w:cs="Calibri"/>
              </w:rPr>
              <w:t>Průběžně po celou dobu evaluace (v termínech konání jednání)</w:t>
            </w:r>
          </w:p>
        </w:tc>
      </w:tr>
      <w:tr w:rsidR="00476621" w:rsidRPr="00476621" w14:paraId="029B3F11" w14:textId="77777777" w:rsidTr="00B0666C">
        <w:tc>
          <w:tcPr>
            <w:cnfStyle w:val="001000000000" w:firstRow="0" w:lastRow="0" w:firstColumn="1" w:lastColumn="0" w:oddVBand="0" w:evenVBand="0" w:oddHBand="0" w:evenHBand="0" w:firstRowFirstColumn="0" w:firstRowLastColumn="0" w:lastRowFirstColumn="0" w:lastRowLastColumn="0"/>
            <w:tcW w:w="5529" w:type="dxa"/>
            <w:shd w:val="clear" w:color="auto" w:fill="auto"/>
          </w:tcPr>
          <w:p w14:paraId="3BD481E1" w14:textId="77777777" w:rsidR="00476621" w:rsidRPr="00476621" w:rsidRDefault="00366560" w:rsidP="00E37DFD">
            <w:pPr>
              <w:spacing w:before="0" w:after="0" w:line="240" w:lineRule="auto"/>
              <w:rPr>
                <w:rFonts w:cs="Calibri"/>
                <w:b w:val="0"/>
              </w:rPr>
            </w:pPr>
            <w:r>
              <w:rPr>
                <w:rFonts w:cs="Calibri"/>
                <w:b w:val="0"/>
              </w:rPr>
              <w:t>Návrh Závěrečné evaluační zprávy</w:t>
            </w:r>
          </w:p>
        </w:tc>
        <w:tc>
          <w:tcPr>
            <w:tcW w:w="3575" w:type="dxa"/>
            <w:shd w:val="clear" w:color="auto" w:fill="auto"/>
          </w:tcPr>
          <w:p w14:paraId="62877B8A" w14:textId="77777777" w:rsidR="00476621" w:rsidRPr="00476621" w:rsidRDefault="00366560" w:rsidP="00E37DFD">
            <w:pPr>
              <w:spacing w:before="0" w:after="0" w:line="240" w:lineRule="auto"/>
              <w:cnfStyle w:val="000000000000" w:firstRow="0" w:lastRow="0" w:firstColumn="0" w:lastColumn="0" w:oddVBand="0" w:evenVBand="0" w:oddHBand="0" w:evenHBand="0" w:firstRowFirstColumn="0" w:firstRowLastColumn="0" w:lastRowFirstColumn="0" w:lastRowLastColumn="0"/>
              <w:rPr>
                <w:rFonts w:cs="Calibri"/>
              </w:rPr>
            </w:pPr>
            <w:r>
              <w:rPr>
                <w:rFonts w:cs="Calibri"/>
              </w:rPr>
              <w:t>1. 4. 2019</w:t>
            </w:r>
          </w:p>
        </w:tc>
      </w:tr>
      <w:tr w:rsidR="00476621" w:rsidRPr="00805A76" w14:paraId="0594C35E" w14:textId="77777777" w:rsidTr="00B066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9" w:type="dxa"/>
            <w:shd w:val="clear" w:color="auto" w:fill="auto"/>
          </w:tcPr>
          <w:p w14:paraId="18CF322A" w14:textId="77777777" w:rsidR="00476621" w:rsidRPr="00805A76" w:rsidRDefault="00805A76" w:rsidP="00E37DFD">
            <w:pPr>
              <w:spacing w:before="0" w:after="0" w:line="240" w:lineRule="auto"/>
              <w:rPr>
                <w:rFonts w:cs="Calibri"/>
                <w:b w:val="0"/>
              </w:rPr>
            </w:pPr>
            <w:r w:rsidRPr="00805A76">
              <w:rPr>
                <w:rFonts w:cs="Calibri"/>
                <w:b w:val="0"/>
              </w:rPr>
              <w:t xml:space="preserve">Proces připomínkování </w:t>
            </w:r>
            <w:r>
              <w:rPr>
                <w:rFonts w:cs="Calibri"/>
                <w:b w:val="0"/>
              </w:rPr>
              <w:t xml:space="preserve">zprávy </w:t>
            </w:r>
            <w:r w:rsidRPr="00805A76">
              <w:rPr>
                <w:rFonts w:cs="Calibri"/>
                <w:b w:val="0"/>
              </w:rPr>
              <w:t>a projednání na ŘV RIS3 a RVVI</w:t>
            </w:r>
          </w:p>
        </w:tc>
        <w:tc>
          <w:tcPr>
            <w:tcW w:w="3575" w:type="dxa"/>
            <w:shd w:val="clear" w:color="auto" w:fill="auto"/>
          </w:tcPr>
          <w:p w14:paraId="5FC43792" w14:textId="77777777" w:rsidR="00476621" w:rsidRPr="00805A76" w:rsidRDefault="00805A76" w:rsidP="00805A76">
            <w:pPr>
              <w:spacing w:before="0" w:after="0" w:line="240" w:lineRule="auto"/>
              <w:cnfStyle w:val="000000100000" w:firstRow="0" w:lastRow="0" w:firstColumn="0" w:lastColumn="0" w:oddVBand="0" w:evenVBand="0" w:oddHBand="1" w:evenHBand="0" w:firstRowFirstColumn="0" w:firstRowLastColumn="0" w:lastRowFirstColumn="0" w:lastRowLastColumn="0"/>
              <w:rPr>
                <w:rFonts w:cs="Calibri"/>
              </w:rPr>
            </w:pPr>
            <w:r w:rsidRPr="00805A76">
              <w:rPr>
                <w:rFonts w:cs="Calibri"/>
              </w:rPr>
              <w:t>04</w:t>
            </w:r>
            <w:r>
              <w:rPr>
                <w:rFonts w:cs="Calibri"/>
              </w:rPr>
              <w:t>/2019 a 05/2019</w:t>
            </w:r>
          </w:p>
        </w:tc>
      </w:tr>
      <w:tr w:rsidR="00805A76" w:rsidRPr="00805A76" w14:paraId="6647F57E" w14:textId="77777777" w:rsidTr="00B0666C">
        <w:tc>
          <w:tcPr>
            <w:cnfStyle w:val="001000000000" w:firstRow="0" w:lastRow="0" w:firstColumn="1" w:lastColumn="0" w:oddVBand="0" w:evenVBand="0" w:oddHBand="0" w:evenHBand="0" w:firstRowFirstColumn="0" w:firstRowLastColumn="0" w:lastRowFirstColumn="0" w:lastRowLastColumn="0"/>
            <w:tcW w:w="5529" w:type="dxa"/>
            <w:shd w:val="clear" w:color="auto" w:fill="auto"/>
          </w:tcPr>
          <w:p w14:paraId="3717B322" w14:textId="77777777" w:rsidR="00805A76" w:rsidRPr="00805A76" w:rsidRDefault="00805A76" w:rsidP="00E37DFD">
            <w:pPr>
              <w:spacing w:before="0" w:after="0" w:line="240" w:lineRule="auto"/>
              <w:rPr>
                <w:rFonts w:asciiTheme="majorHAnsi" w:hAnsiTheme="majorHAnsi" w:cstheme="majorHAnsi"/>
                <w:b w:val="0"/>
              </w:rPr>
            </w:pPr>
            <w:r w:rsidRPr="00805A76">
              <w:rPr>
                <w:rFonts w:asciiTheme="majorHAnsi" w:hAnsiTheme="majorHAnsi" w:cstheme="majorHAnsi"/>
                <w:b w:val="0"/>
              </w:rPr>
              <w:t xml:space="preserve">Finální verze Závěrečné </w:t>
            </w:r>
            <w:r>
              <w:rPr>
                <w:rFonts w:asciiTheme="majorHAnsi" w:hAnsiTheme="majorHAnsi" w:cstheme="majorHAnsi"/>
                <w:b w:val="0"/>
              </w:rPr>
              <w:t xml:space="preserve">evaluační </w:t>
            </w:r>
            <w:r w:rsidRPr="00805A76">
              <w:rPr>
                <w:rFonts w:asciiTheme="majorHAnsi" w:hAnsiTheme="majorHAnsi" w:cstheme="majorHAnsi"/>
                <w:b w:val="0"/>
              </w:rPr>
              <w:t>zprávy</w:t>
            </w:r>
            <w:r>
              <w:rPr>
                <w:rFonts w:asciiTheme="majorHAnsi" w:hAnsiTheme="majorHAnsi" w:cstheme="majorHAnsi"/>
                <w:b w:val="0"/>
              </w:rPr>
              <w:t xml:space="preserve"> (předložení Vládě ČR)</w:t>
            </w:r>
          </w:p>
        </w:tc>
        <w:tc>
          <w:tcPr>
            <w:tcW w:w="3575" w:type="dxa"/>
            <w:shd w:val="clear" w:color="auto" w:fill="auto"/>
          </w:tcPr>
          <w:p w14:paraId="233FEBDB" w14:textId="77777777" w:rsidR="00805A76" w:rsidRPr="00805A76" w:rsidRDefault="00805A76" w:rsidP="00E37DFD">
            <w:pPr>
              <w:spacing w:before="0"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06/2019</w:t>
            </w:r>
          </w:p>
        </w:tc>
      </w:tr>
    </w:tbl>
    <w:p w14:paraId="71A1C0CE" w14:textId="77777777" w:rsidR="00635BE8" w:rsidRPr="00635BE8" w:rsidRDefault="00635BE8" w:rsidP="00635BE8">
      <w:pPr>
        <w:spacing w:before="0"/>
        <w:rPr>
          <w:sz w:val="18"/>
          <w:szCs w:val="18"/>
        </w:rPr>
      </w:pPr>
      <w:r w:rsidRPr="00635BE8">
        <w:rPr>
          <w:sz w:val="18"/>
          <w:szCs w:val="18"/>
        </w:rPr>
        <w:t>Zdroj: vlastní zpracování</w:t>
      </w:r>
    </w:p>
    <w:p w14:paraId="656E9D76" w14:textId="77777777" w:rsidR="00BA59FB" w:rsidRDefault="00605061" w:rsidP="00BA59FB">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bookmarkStart w:id="12" w:name="_Toc5626438"/>
      <w:r>
        <w:rPr>
          <w:rFonts w:asciiTheme="majorHAnsi" w:eastAsiaTheme="majorEastAsia" w:hAnsiTheme="majorHAnsi" w:cstheme="majorHAnsi"/>
          <w:i/>
          <w:caps/>
          <w:color w:val="004B8D"/>
          <w:spacing w:val="0"/>
          <w:sz w:val="22"/>
          <w:lang w:bidi="ar-SA"/>
        </w:rPr>
        <w:lastRenderedPageBreak/>
        <w:t xml:space="preserve">1.2.2 </w:t>
      </w:r>
      <w:r w:rsidR="0078648F" w:rsidRPr="00BA59FB">
        <w:rPr>
          <w:rFonts w:asciiTheme="majorHAnsi" w:eastAsiaTheme="majorEastAsia" w:hAnsiTheme="majorHAnsi" w:cstheme="majorHAnsi"/>
          <w:i/>
          <w:caps/>
          <w:color w:val="004B8D"/>
          <w:spacing w:val="0"/>
          <w:sz w:val="22"/>
          <w:lang w:bidi="ar-SA"/>
        </w:rPr>
        <w:t>Metodický přístup</w:t>
      </w:r>
      <w:bookmarkEnd w:id="12"/>
    </w:p>
    <w:p w14:paraId="5F9BB72B" w14:textId="2580C6BC" w:rsidR="00805A76" w:rsidRDefault="004F495D" w:rsidP="00805A76">
      <w:pPr>
        <w:spacing w:before="0"/>
      </w:pPr>
      <w:r>
        <w:t>Evaluační design byl koncipován jako kombinace kvantitativních a kvalitativních metod</w:t>
      </w:r>
      <w:r w:rsidR="00A3059D">
        <w:t xml:space="preserve"> sběru a</w:t>
      </w:r>
      <w:r w:rsidR="006E574E">
        <w:t> </w:t>
      </w:r>
      <w:r w:rsidR="00A3059D">
        <w:t>analýzy dat</w:t>
      </w:r>
      <w:r>
        <w:t xml:space="preserve">.  </w:t>
      </w:r>
    </w:p>
    <w:p w14:paraId="73CEDDC3" w14:textId="77777777" w:rsidR="00505E60" w:rsidRPr="00635BE8" w:rsidRDefault="00505E60" w:rsidP="00505E60">
      <w:pPr>
        <w:spacing w:after="0"/>
        <w:rPr>
          <w:i/>
        </w:rPr>
      </w:pPr>
      <w:bookmarkStart w:id="13" w:name="_Toc5626511"/>
      <w:bookmarkStart w:id="14" w:name="_Ref4422589"/>
      <w:r w:rsidRPr="00C64D59">
        <w:rPr>
          <w:rFonts w:cs="Arial-ItalicMT"/>
          <w:b/>
          <w:iCs/>
          <w:szCs w:val="22"/>
        </w:rPr>
        <w:t xml:space="preserve">Tabulka č. </w:t>
      </w:r>
      <w:r w:rsidR="008A090D" w:rsidRPr="00C64D59">
        <w:rPr>
          <w:rFonts w:cs="Arial-ItalicMT"/>
          <w:b/>
          <w:iCs/>
          <w:szCs w:val="22"/>
        </w:rPr>
        <w:fldChar w:fldCharType="begin"/>
      </w:r>
      <w:r w:rsidRPr="00C64D59">
        <w:rPr>
          <w:rFonts w:cs="Arial-ItalicMT"/>
          <w:b/>
          <w:iCs/>
          <w:szCs w:val="22"/>
        </w:rPr>
        <w:instrText xml:space="preserve"> SEQ Tabulka_č._ \* ARABIC </w:instrText>
      </w:r>
      <w:r w:rsidR="008A090D" w:rsidRPr="00C64D59">
        <w:rPr>
          <w:rFonts w:cs="Arial-ItalicMT"/>
          <w:b/>
          <w:iCs/>
          <w:szCs w:val="22"/>
        </w:rPr>
        <w:fldChar w:fldCharType="separate"/>
      </w:r>
      <w:r w:rsidR="002309D5">
        <w:rPr>
          <w:rFonts w:cs="Arial-ItalicMT"/>
          <w:b/>
          <w:iCs/>
          <w:noProof/>
          <w:szCs w:val="22"/>
        </w:rPr>
        <w:t>2</w:t>
      </w:r>
      <w:r w:rsidR="008A090D" w:rsidRPr="00C64D59">
        <w:rPr>
          <w:rFonts w:cs="Arial-ItalicMT"/>
          <w:b/>
          <w:iCs/>
          <w:szCs w:val="22"/>
        </w:rPr>
        <w:fldChar w:fldCharType="end"/>
      </w:r>
      <w:r w:rsidRPr="00C64D59">
        <w:rPr>
          <w:rFonts w:cs="Arial-ItalicMT"/>
          <w:b/>
          <w:iCs/>
          <w:szCs w:val="22"/>
        </w:rPr>
        <w:t xml:space="preserve"> -</w:t>
      </w:r>
      <w:r w:rsidRPr="00D66402">
        <w:rPr>
          <w:rFonts w:cs="Arial-ItalicMT"/>
          <w:iCs/>
          <w:szCs w:val="22"/>
        </w:rPr>
        <w:t xml:space="preserve"> </w:t>
      </w:r>
      <w:r w:rsidRPr="00505E60">
        <w:rPr>
          <w:i/>
        </w:rPr>
        <w:t>Přehled metod sběru a analýzy dat</w:t>
      </w:r>
      <w:bookmarkEnd w:id="13"/>
    </w:p>
    <w:tbl>
      <w:tblPr>
        <w:tblStyle w:val="Svtlseznamzvraznn12"/>
        <w:tblW w:w="0" w:type="auto"/>
        <w:tblInd w:w="108" w:type="dxa"/>
        <w:tblBorders>
          <w:top w:val="single" w:sz="4" w:space="0" w:color="548DD4" w:themeColor="text2" w:themeTint="99"/>
          <w:left w:val="single" w:sz="4" w:space="0" w:color="548DD4" w:themeColor="text2" w:themeTint="99"/>
          <w:bottom w:val="single" w:sz="4" w:space="0" w:color="548DD4" w:themeColor="text2" w:themeTint="99"/>
          <w:right w:val="none" w:sz="0" w:space="0" w:color="auto"/>
          <w:insideH w:val="single" w:sz="4" w:space="0" w:color="548DD4" w:themeColor="text2" w:themeTint="99"/>
          <w:insideV w:val="single" w:sz="4" w:space="0" w:color="548DD4" w:themeColor="text2" w:themeTint="99"/>
        </w:tblBorders>
        <w:tblLook w:val="04A0" w:firstRow="1" w:lastRow="0" w:firstColumn="1" w:lastColumn="0" w:noHBand="0" w:noVBand="1"/>
      </w:tblPr>
      <w:tblGrid>
        <w:gridCol w:w="3300"/>
        <w:gridCol w:w="2762"/>
        <w:gridCol w:w="2892"/>
      </w:tblGrid>
      <w:tr w:rsidR="004F495D" w:rsidRPr="00BB05CE" w14:paraId="7369DCAE" w14:textId="77777777" w:rsidTr="00BB05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bookmarkEnd w:id="14"/>
          <w:p w14:paraId="621E6651" w14:textId="77777777" w:rsidR="004F495D" w:rsidRPr="00BB05CE" w:rsidRDefault="00BB05CE" w:rsidP="004F495D">
            <w:pPr>
              <w:spacing w:before="0" w:after="0" w:line="240" w:lineRule="auto"/>
              <w:rPr>
                <w:rFonts w:asciiTheme="majorHAnsi" w:hAnsiTheme="majorHAnsi" w:cstheme="majorHAnsi"/>
              </w:rPr>
            </w:pPr>
            <w:r w:rsidRPr="00BB05CE">
              <w:rPr>
                <w:rFonts w:asciiTheme="majorHAnsi" w:hAnsiTheme="majorHAnsi" w:cstheme="majorHAnsi"/>
              </w:rPr>
              <w:t>Evaluační okruh</w:t>
            </w:r>
          </w:p>
        </w:tc>
        <w:tc>
          <w:tcPr>
            <w:tcW w:w="2835" w:type="dxa"/>
          </w:tcPr>
          <w:p w14:paraId="43482198" w14:textId="77777777" w:rsidR="004F495D" w:rsidRPr="00BB05CE" w:rsidRDefault="00BB05CE" w:rsidP="00BB05CE">
            <w:pPr>
              <w:spacing w:before="0" w:after="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BB05CE">
              <w:rPr>
                <w:rFonts w:asciiTheme="majorHAnsi" w:hAnsiTheme="majorHAnsi" w:cstheme="majorHAnsi"/>
              </w:rPr>
              <w:t xml:space="preserve">Metody sběru dat </w:t>
            </w:r>
          </w:p>
        </w:tc>
        <w:tc>
          <w:tcPr>
            <w:tcW w:w="2943" w:type="dxa"/>
            <w:tcBorders>
              <w:right w:val="single" w:sz="4" w:space="0" w:color="548DD4" w:themeColor="text2" w:themeTint="99"/>
            </w:tcBorders>
          </w:tcPr>
          <w:p w14:paraId="413D9AD6" w14:textId="77777777" w:rsidR="004F495D" w:rsidRPr="00BB05CE" w:rsidRDefault="00BB05CE" w:rsidP="004F495D">
            <w:pPr>
              <w:spacing w:before="0" w:after="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BB05CE">
              <w:rPr>
                <w:rFonts w:asciiTheme="majorHAnsi" w:hAnsiTheme="majorHAnsi" w:cstheme="majorHAnsi"/>
              </w:rPr>
              <w:t>Metody analýzy dat</w:t>
            </w:r>
          </w:p>
        </w:tc>
      </w:tr>
      <w:tr w:rsidR="004F495D" w:rsidRPr="00476621" w14:paraId="17E468AF" w14:textId="77777777" w:rsidTr="00B066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shd w:val="clear" w:color="auto" w:fill="auto"/>
          </w:tcPr>
          <w:p w14:paraId="3F43F05A" w14:textId="77777777" w:rsidR="004F495D" w:rsidRPr="00476621" w:rsidRDefault="00BB05CE" w:rsidP="00BB05CE">
            <w:pPr>
              <w:spacing w:before="0" w:after="0" w:line="240" w:lineRule="auto"/>
              <w:jc w:val="left"/>
              <w:rPr>
                <w:rFonts w:cs="Calibri"/>
                <w:b w:val="0"/>
              </w:rPr>
            </w:pPr>
            <w:r>
              <w:rPr>
                <w:rFonts w:cs="Calibri"/>
                <w:b w:val="0"/>
              </w:rPr>
              <w:t xml:space="preserve">I. Ověření </w:t>
            </w:r>
            <w:r w:rsidRPr="00BB05CE">
              <w:rPr>
                <w:rFonts w:cs="Calibri"/>
                <w:b w:val="0"/>
              </w:rPr>
              <w:t xml:space="preserve">aktuálnosti zacílení </w:t>
            </w:r>
            <w:r>
              <w:rPr>
                <w:rFonts w:cs="Calibri"/>
                <w:b w:val="0"/>
              </w:rPr>
              <w:t xml:space="preserve">Národní </w:t>
            </w:r>
            <w:r w:rsidRPr="00BB05CE">
              <w:rPr>
                <w:rFonts w:cs="Calibri"/>
                <w:b w:val="0"/>
              </w:rPr>
              <w:t xml:space="preserve">RIS3 </w:t>
            </w:r>
            <w:r>
              <w:rPr>
                <w:rFonts w:cs="Calibri"/>
                <w:b w:val="0"/>
              </w:rPr>
              <w:t xml:space="preserve">strategie </w:t>
            </w:r>
            <w:r w:rsidRPr="00BB05CE">
              <w:rPr>
                <w:rFonts w:cs="Calibri"/>
                <w:b w:val="0"/>
              </w:rPr>
              <w:t>ve vztahu k vývoji vnějšího prostředí</w:t>
            </w:r>
          </w:p>
        </w:tc>
        <w:tc>
          <w:tcPr>
            <w:tcW w:w="2835" w:type="dxa"/>
            <w:shd w:val="clear" w:color="auto" w:fill="auto"/>
          </w:tcPr>
          <w:p w14:paraId="2C689153" w14:textId="77777777" w:rsidR="004F495D" w:rsidRPr="00BB05CE" w:rsidRDefault="00A3059D" w:rsidP="00D10F0D">
            <w:pPr>
              <w:pStyle w:val="Odstavecseseznamem"/>
              <w:numPr>
                <w:ilvl w:val="0"/>
                <w:numId w:val="21"/>
              </w:numPr>
              <w:spacing w:before="0" w:after="0" w:line="240" w:lineRule="auto"/>
              <w:ind w:left="318" w:hanging="284"/>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d</w:t>
            </w:r>
            <w:r w:rsidR="00BB05CE" w:rsidRPr="00BB05CE">
              <w:rPr>
                <w:rFonts w:asciiTheme="majorHAnsi" w:hAnsiTheme="majorHAnsi" w:cstheme="majorHAnsi"/>
              </w:rPr>
              <w:t>esk research</w:t>
            </w:r>
          </w:p>
        </w:tc>
        <w:tc>
          <w:tcPr>
            <w:tcW w:w="2943" w:type="dxa"/>
            <w:tcBorders>
              <w:right w:val="single" w:sz="4" w:space="0" w:color="548DD4" w:themeColor="text2" w:themeTint="99"/>
            </w:tcBorders>
            <w:shd w:val="clear" w:color="auto" w:fill="auto"/>
          </w:tcPr>
          <w:p w14:paraId="429BF4D2" w14:textId="77777777" w:rsidR="00BB05CE" w:rsidRDefault="00BB05CE" w:rsidP="00D10F0D">
            <w:pPr>
              <w:pStyle w:val="Odstavecseseznamem"/>
              <w:numPr>
                <w:ilvl w:val="0"/>
                <w:numId w:val="21"/>
              </w:numPr>
              <w:spacing w:before="0" w:after="0" w:line="240" w:lineRule="auto"/>
              <w:ind w:left="317" w:hanging="317"/>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BB05CE">
              <w:rPr>
                <w:rFonts w:asciiTheme="majorHAnsi" w:hAnsiTheme="majorHAnsi" w:cstheme="majorHAnsi"/>
              </w:rPr>
              <w:t>obsahová analýza</w:t>
            </w:r>
          </w:p>
          <w:p w14:paraId="740BE3B1" w14:textId="77777777" w:rsidR="00BB05CE" w:rsidRDefault="00BB05CE" w:rsidP="00D10F0D">
            <w:pPr>
              <w:pStyle w:val="Odstavecseseznamem"/>
              <w:numPr>
                <w:ilvl w:val="0"/>
                <w:numId w:val="21"/>
              </w:numPr>
              <w:spacing w:before="0" w:after="0" w:line="240" w:lineRule="auto"/>
              <w:ind w:left="317" w:hanging="317"/>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BB05CE">
              <w:rPr>
                <w:rFonts w:asciiTheme="majorHAnsi" w:hAnsiTheme="majorHAnsi" w:cstheme="majorHAnsi"/>
              </w:rPr>
              <w:t>socioekonomická analýza</w:t>
            </w:r>
          </w:p>
          <w:p w14:paraId="072B017A" w14:textId="77777777" w:rsidR="004F495D" w:rsidRPr="00BB05CE" w:rsidRDefault="00BB05CE" w:rsidP="00D10F0D">
            <w:pPr>
              <w:pStyle w:val="Odstavecseseznamem"/>
              <w:numPr>
                <w:ilvl w:val="0"/>
                <w:numId w:val="21"/>
              </w:numPr>
              <w:spacing w:before="0" w:after="0" w:line="240" w:lineRule="auto"/>
              <w:ind w:left="317" w:hanging="317"/>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BB05CE">
              <w:rPr>
                <w:rFonts w:asciiTheme="majorHAnsi" w:hAnsiTheme="majorHAnsi" w:cstheme="majorHAnsi"/>
              </w:rPr>
              <w:t>syntéza</w:t>
            </w:r>
          </w:p>
        </w:tc>
      </w:tr>
      <w:tr w:rsidR="00A3059D" w:rsidRPr="00E37DFD" w14:paraId="020D9DD8" w14:textId="77777777" w:rsidTr="00B0666C">
        <w:tc>
          <w:tcPr>
            <w:cnfStyle w:val="001000000000" w:firstRow="0" w:lastRow="0" w:firstColumn="1" w:lastColumn="0" w:oddVBand="0" w:evenVBand="0" w:oddHBand="0" w:evenHBand="0" w:firstRowFirstColumn="0" w:firstRowLastColumn="0" w:lastRowFirstColumn="0" w:lastRowLastColumn="0"/>
            <w:tcW w:w="3402" w:type="dxa"/>
            <w:shd w:val="clear" w:color="auto" w:fill="auto"/>
          </w:tcPr>
          <w:p w14:paraId="3090C05E" w14:textId="77777777" w:rsidR="00A3059D" w:rsidRPr="00E37DFD" w:rsidRDefault="00A3059D" w:rsidP="00BB05CE">
            <w:pPr>
              <w:spacing w:before="0" w:after="0" w:line="240" w:lineRule="auto"/>
              <w:jc w:val="left"/>
              <w:rPr>
                <w:rFonts w:cs="Calibri"/>
                <w:b w:val="0"/>
              </w:rPr>
            </w:pPr>
            <w:r>
              <w:rPr>
                <w:rFonts w:cs="Calibri"/>
                <w:b w:val="0"/>
              </w:rPr>
              <w:t xml:space="preserve">II. </w:t>
            </w:r>
            <w:r w:rsidRPr="00BB05CE">
              <w:rPr>
                <w:rFonts w:cs="Calibri"/>
                <w:b w:val="0"/>
              </w:rPr>
              <w:t xml:space="preserve">Zhodnocení pokroku při naplňování </w:t>
            </w:r>
            <w:r>
              <w:rPr>
                <w:rFonts w:cs="Calibri"/>
                <w:b w:val="0"/>
              </w:rPr>
              <w:t xml:space="preserve">Národní </w:t>
            </w:r>
            <w:r w:rsidRPr="00BB05CE">
              <w:rPr>
                <w:rFonts w:cs="Calibri"/>
                <w:b w:val="0"/>
              </w:rPr>
              <w:t xml:space="preserve">RIS3 </w:t>
            </w:r>
            <w:r>
              <w:rPr>
                <w:rFonts w:cs="Calibri"/>
                <w:b w:val="0"/>
              </w:rPr>
              <w:t xml:space="preserve">strategie </w:t>
            </w:r>
            <w:r w:rsidRPr="00BB05CE">
              <w:rPr>
                <w:rFonts w:cs="Calibri"/>
                <w:b w:val="0"/>
              </w:rPr>
              <w:t>prostřednictvím ESIF programů a národních programů podpory</w:t>
            </w:r>
          </w:p>
        </w:tc>
        <w:tc>
          <w:tcPr>
            <w:tcW w:w="2835" w:type="dxa"/>
            <w:shd w:val="clear" w:color="auto" w:fill="auto"/>
          </w:tcPr>
          <w:p w14:paraId="3C3091DE" w14:textId="77777777" w:rsidR="00A3059D" w:rsidRDefault="00A3059D" w:rsidP="00D10F0D">
            <w:pPr>
              <w:pStyle w:val="Odstavecseseznamem"/>
              <w:numPr>
                <w:ilvl w:val="0"/>
                <w:numId w:val="21"/>
              </w:numPr>
              <w:spacing w:before="0" w:after="0" w:line="240" w:lineRule="auto"/>
              <w:ind w:left="318" w:hanging="284"/>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d</w:t>
            </w:r>
            <w:r w:rsidRPr="00BB05CE">
              <w:rPr>
                <w:rFonts w:asciiTheme="majorHAnsi" w:hAnsiTheme="majorHAnsi" w:cstheme="majorHAnsi"/>
              </w:rPr>
              <w:t>esk research</w:t>
            </w:r>
          </w:p>
          <w:p w14:paraId="2E58C293" w14:textId="77777777" w:rsidR="00A3059D" w:rsidRPr="00BB05CE" w:rsidRDefault="00607F89" w:rsidP="00D10F0D">
            <w:pPr>
              <w:pStyle w:val="Odstavecseseznamem"/>
              <w:numPr>
                <w:ilvl w:val="0"/>
                <w:numId w:val="21"/>
              </w:numPr>
              <w:spacing w:before="0" w:after="0" w:line="240" w:lineRule="auto"/>
              <w:ind w:left="318" w:hanging="284"/>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a</w:t>
            </w:r>
            <w:r w:rsidR="00A3059D">
              <w:rPr>
                <w:rFonts w:asciiTheme="majorHAnsi" w:hAnsiTheme="majorHAnsi" w:cstheme="majorHAnsi"/>
              </w:rPr>
              <w:t>nalýza a úprava statistických dat</w:t>
            </w:r>
          </w:p>
        </w:tc>
        <w:tc>
          <w:tcPr>
            <w:tcW w:w="2943" w:type="dxa"/>
            <w:tcBorders>
              <w:right w:val="single" w:sz="4" w:space="0" w:color="548DD4" w:themeColor="text2" w:themeTint="99"/>
            </w:tcBorders>
            <w:shd w:val="clear" w:color="auto" w:fill="auto"/>
          </w:tcPr>
          <w:p w14:paraId="1E2D3B79" w14:textId="77777777" w:rsidR="00A3059D" w:rsidRDefault="00A3059D" w:rsidP="00D10F0D">
            <w:pPr>
              <w:pStyle w:val="Odstavecseseznamem"/>
              <w:numPr>
                <w:ilvl w:val="0"/>
                <w:numId w:val="21"/>
              </w:numPr>
              <w:spacing w:before="0" w:after="0" w:line="240" w:lineRule="auto"/>
              <w:ind w:left="317" w:hanging="317"/>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BB05CE">
              <w:rPr>
                <w:rFonts w:asciiTheme="majorHAnsi" w:hAnsiTheme="majorHAnsi" w:cstheme="majorHAnsi"/>
              </w:rPr>
              <w:t>obsahová analýza</w:t>
            </w:r>
          </w:p>
          <w:p w14:paraId="484F6207" w14:textId="77777777" w:rsidR="00A3059D" w:rsidRDefault="00A3059D" w:rsidP="00D10F0D">
            <w:pPr>
              <w:pStyle w:val="Odstavecseseznamem"/>
              <w:numPr>
                <w:ilvl w:val="0"/>
                <w:numId w:val="21"/>
              </w:numPr>
              <w:spacing w:before="0" w:after="0" w:line="240" w:lineRule="auto"/>
              <w:ind w:left="317" w:hanging="317"/>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statistická analýza dat</w:t>
            </w:r>
          </w:p>
          <w:p w14:paraId="287094EA" w14:textId="77777777" w:rsidR="00A3059D" w:rsidRPr="00BB05CE" w:rsidRDefault="00A3059D" w:rsidP="00D10F0D">
            <w:pPr>
              <w:pStyle w:val="Odstavecseseznamem"/>
              <w:numPr>
                <w:ilvl w:val="0"/>
                <w:numId w:val="21"/>
              </w:numPr>
              <w:spacing w:before="0" w:after="0" w:line="240" w:lineRule="auto"/>
              <w:ind w:left="317" w:hanging="317"/>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BB05CE">
              <w:rPr>
                <w:rFonts w:asciiTheme="majorHAnsi" w:hAnsiTheme="majorHAnsi" w:cstheme="majorHAnsi"/>
              </w:rPr>
              <w:t>syntéza</w:t>
            </w:r>
          </w:p>
        </w:tc>
      </w:tr>
      <w:tr w:rsidR="00A3059D" w:rsidRPr="00476621" w14:paraId="3DC6D6D6" w14:textId="77777777" w:rsidTr="00B066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shd w:val="clear" w:color="auto" w:fill="auto"/>
          </w:tcPr>
          <w:p w14:paraId="5F6D09DC" w14:textId="77777777" w:rsidR="00A3059D" w:rsidRPr="00476621" w:rsidRDefault="00A3059D" w:rsidP="00BB05CE">
            <w:pPr>
              <w:spacing w:before="0" w:after="0" w:line="240" w:lineRule="auto"/>
              <w:jc w:val="left"/>
              <w:rPr>
                <w:rFonts w:cs="Calibri"/>
                <w:b w:val="0"/>
              </w:rPr>
            </w:pPr>
            <w:r>
              <w:rPr>
                <w:rFonts w:cs="Calibri"/>
                <w:b w:val="0"/>
              </w:rPr>
              <w:t xml:space="preserve">III. </w:t>
            </w:r>
            <w:r w:rsidRPr="00BB05CE">
              <w:rPr>
                <w:rFonts w:cs="Calibri"/>
                <w:b w:val="0"/>
              </w:rPr>
              <w:t>Naplňování krajských RIS3 strategií</w:t>
            </w:r>
          </w:p>
        </w:tc>
        <w:tc>
          <w:tcPr>
            <w:tcW w:w="2835" w:type="dxa"/>
            <w:shd w:val="clear" w:color="auto" w:fill="auto"/>
          </w:tcPr>
          <w:p w14:paraId="75202512" w14:textId="77777777" w:rsidR="00A3059D" w:rsidRPr="00BB05CE" w:rsidRDefault="00A3059D" w:rsidP="00D10F0D">
            <w:pPr>
              <w:pStyle w:val="Odstavecseseznamem"/>
              <w:numPr>
                <w:ilvl w:val="0"/>
                <w:numId w:val="21"/>
              </w:numPr>
              <w:spacing w:before="0" w:after="0" w:line="240" w:lineRule="auto"/>
              <w:ind w:left="318" w:hanging="284"/>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d</w:t>
            </w:r>
            <w:r w:rsidRPr="00BB05CE">
              <w:rPr>
                <w:rFonts w:asciiTheme="majorHAnsi" w:hAnsiTheme="majorHAnsi" w:cstheme="majorHAnsi"/>
              </w:rPr>
              <w:t>esk research</w:t>
            </w:r>
          </w:p>
        </w:tc>
        <w:tc>
          <w:tcPr>
            <w:tcW w:w="2943" w:type="dxa"/>
            <w:tcBorders>
              <w:right w:val="single" w:sz="4" w:space="0" w:color="548DD4" w:themeColor="text2" w:themeTint="99"/>
            </w:tcBorders>
            <w:shd w:val="clear" w:color="auto" w:fill="auto"/>
          </w:tcPr>
          <w:p w14:paraId="6D3B26D0" w14:textId="77777777" w:rsidR="00A3059D" w:rsidRDefault="00A3059D" w:rsidP="00D10F0D">
            <w:pPr>
              <w:pStyle w:val="Odstavecseseznamem"/>
              <w:numPr>
                <w:ilvl w:val="0"/>
                <w:numId w:val="21"/>
              </w:numPr>
              <w:spacing w:before="0" w:after="0" w:line="240" w:lineRule="auto"/>
              <w:ind w:left="317" w:hanging="317"/>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BB05CE">
              <w:rPr>
                <w:rFonts w:asciiTheme="majorHAnsi" w:hAnsiTheme="majorHAnsi" w:cstheme="majorHAnsi"/>
              </w:rPr>
              <w:t>obsahová analýza</w:t>
            </w:r>
          </w:p>
          <w:p w14:paraId="114CDC65" w14:textId="77777777" w:rsidR="00A3059D" w:rsidRDefault="00A3059D" w:rsidP="00D10F0D">
            <w:pPr>
              <w:pStyle w:val="Odstavecseseznamem"/>
              <w:numPr>
                <w:ilvl w:val="0"/>
                <w:numId w:val="21"/>
              </w:numPr>
              <w:spacing w:before="0" w:after="0" w:line="240" w:lineRule="auto"/>
              <w:ind w:left="317" w:hanging="317"/>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srovnávací analýza</w:t>
            </w:r>
          </w:p>
          <w:p w14:paraId="4CAFD8A5" w14:textId="77777777" w:rsidR="00A3059D" w:rsidRDefault="00A3059D" w:rsidP="00D10F0D">
            <w:pPr>
              <w:pStyle w:val="Odstavecseseznamem"/>
              <w:numPr>
                <w:ilvl w:val="0"/>
                <w:numId w:val="21"/>
              </w:numPr>
              <w:spacing w:before="0" w:after="0" w:line="240" w:lineRule="auto"/>
              <w:ind w:left="317" w:hanging="317"/>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případové studie</w:t>
            </w:r>
          </w:p>
          <w:p w14:paraId="11171680" w14:textId="77777777" w:rsidR="00A3059D" w:rsidRPr="00BB05CE" w:rsidRDefault="00A3059D" w:rsidP="00D10F0D">
            <w:pPr>
              <w:pStyle w:val="Odstavecseseznamem"/>
              <w:numPr>
                <w:ilvl w:val="0"/>
                <w:numId w:val="21"/>
              </w:numPr>
              <w:spacing w:before="0" w:after="0" w:line="240" w:lineRule="auto"/>
              <w:ind w:left="317" w:hanging="317"/>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BB05CE">
              <w:rPr>
                <w:rFonts w:asciiTheme="majorHAnsi" w:hAnsiTheme="majorHAnsi" w:cstheme="majorHAnsi"/>
              </w:rPr>
              <w:t>syntéza</w:t>
            </w:r>
          </w:p>
        </w:tc>
      </w:tr>
      <w:tr w:rsidR="00A3059D" w:rsidRPr="00476621" w14:paraId="1CBD0D51" w14:textId="77777777" w:rsidTr="00B0666C">
        <w:tc>
          <w:tcPr>
            <w:cnfStyle w:val="001000000000" w:firstRow="0" w:lastRow="0" w:firstColumn="1" w:lastColumn="0" w:oddVBand="0" w:evenVBand="0" w:oddHBand="0" w:evenHBand="0" w:firstRowFirstColumn="0" w:firstRowLastColumn="0" w:lastRowFirstColumn="0" w:lastRowLastColumn="0"/>
            <w:tcW w:w="3402" w:type="dxa"/>
            <w:shd w:val="clear" w:color="auto" w:fill="auto"/>
          </w:tcPr>
          <w:p w14:paraId="102C9B46" w14:textId="77777777" w:rsidR="00A3059D" w:rsidRPr="00BB05CE" w:rsidRDefault="00A3059D" w:rsidP="00BB05CE">
            <w:pPr>
              <w:spacing w:before="0" w:after="0" w:line="240" w:lineRule="auto"/>
              <w:jc w:val="left"/>
              <w:rPr>
                <w:rFonts w:cs="Calibri"/>
                <w:b w:val="0"/>
              </w:rPr>
            </w:pPr>
            <w:r>
              <w:rPr>
                <w:rFonts w:cs="Calibri"/>
                <w:b w:val="0"/>
              </w:rPr>
              <w:t xml:space="preserve">IV. </w:t>
            </w:r>
            <w:r w:rsidRPr="00BB05CE">
              <w:rPr>
                <w:rFonts w:cs="Calibri"/>
                <w:b w:val="0"/>
              </w:rPr>
              <w:t xml:space="preserve">Vyhodnocení fungování systému implementace </w:t>
            </w:r>
            <w:r>
              <w:rPr>
                <w:rFonts w:cs="Calibri"/>
                <w:b w:val="0"/>
              </w:rPr>
              <w:t xml:space="preserve">Národní </w:t>
            </w:r>
            <w:r w:rsidRPr="00BB05CE">
              <w:rPr>
                <w:rFonts w:cs="Calibri"/>
                <w:b w:val="0"/>
              </w:rPr>
              <w:t>RIS3</w:t>
            </w:r>
            <w:r>
              <w:rPr>
                <w:rFonts w:cs="Calibri"/>
                <w:b w:val="0"/>
              </w:rPr>
              <w:t xml:space="preserve"> strategie</w:t>
            </w:r>
          </w:p>
        </w:tc>
        <w:tc>
          <w:tcPr>
            <w:tcW w:w="2835" w:type="dxa"/>
            <w:shd w:val="clear" w:color="auto" w:fill="auto"/>
          </w:tcPr>
          <w:p w14:paraId="1A4D8381" w14:textId="77777777" w:rsidR="00A3059D" w:rsidRDefault="00A3059D" w:rsidP="00D10F0D">
            <w:pPr>
              <w:pStyle w:val="Odstavecseseznamem"/>
              <w:numPr>
                <w:ilvl w:val="0"/>
                <w:numId w:val="21"/>
              </w:numPr>
              <w:spacing w:before="0" w:after="0" w:line="240" w:lineRule="auto"/>
              <w:ind w:left="318" w:hanging="284"/>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d</w:t>
            </w:r>
            <w:r w:rsidRPr="00BB05CE">
              <w:rPr>
                <w:rFonts w:asciiTheme="majorHAnsi" w:hAnsiTheme="majorHAnsi" w:cstheme="majorHAnsi"/>
              </w:rPr>
              <w:t>esk research</w:t>
            </w:r>
          </w:p>
          <w:p w14:paraId="2ABAB2BF" w14:textId="77777777" w:rsidR="00A3059D" w:rsidRDefault="00A3059D" w:rsidP="00D10F0D">
            <w:pPr>
              <w:pStyle w:val="Odstavecseseznamem"/>
              <w:numPr>
                <w:ilvl w:val="0"/>
                <w:numId w:val="21"/>
              </w:numPr>
              <w:spacing w:before="0" w:after="0" w:line="240" w:lineRule="auto"/>
              <w:ind w:left="318" w:hanging="284"/>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dotazníkové šetření</w:t>
            </w:r>
          </w:p>
          <w:p w14:paraId="57681CC8" w14:textId="77777777" w:rsidR="00A3059D" w:rsidRPr="00BB05CE" w:rsidRDefault="00A3059D" w:rsidP="00D10F0D">
            <w:pPr>
              <w:pStyle w:val="Odstavecseseznamem"/>
              <w:numPr>
                <w:ilvl w:val="0"/>
                <w:numId w:val="21"/>
              </w:numPr>
              <w:spacing w:before="0" w:after="0" w:line="240" w:lineRule="auto"/>
              <w:ind w:left="318" w:hanging="284"/>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 xml:space="preserve">rozhovory </w:t>
            </w:r>
          </w:p>
        </w:tc>
        <w:tc>
          <w:tcPr>
            <w:tcW w:w="2943" w:type="dxa"/>
            <w:tcBorders>
              <w:right w:val="single" w:sz="4" w:space="0" w:color="548DD4" w:themeColor="text2" w:themeTint="99"/>
            </w:tcBorders>
            <w:shd w:val="clear" w:color="auto" w:fill="auto"/>
          </w:tcPr>
          <w:p w14:paraId="502504DD" w14:textId="77777777" w:rsidR="00A3059D" w:rsidRDefault="00A3059D" w:rsidP="00D10F0D">
            <w:pPr>
              <w:pStyle w:val="Odstavecseseznamem"/>
              <w:numPr>
                <w:ilvl w:val="0"/>
                <w:numId w:val="21"/>
              </w:numPr>
              <w:spacing w:before="0" w:after="0" w:line="240" w:lineRule="auto"/>
              <w:ind w:left="317" w:hanging="317"/>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BB05CE">
              <w:rPr>
                <w:rFonts w:asciiTheme="majorHAnsi" w:hAnsiTheme="majorHAnsi" w:cstheme="majorHAnsi"/>
              </w:rPr>
              <w:t>obsahová analýza</w:t>
            </w:r>
          </w:p>
          <w:p w14:paraId="373874D1" w14:textId="77777777" w:rsidR="00A3059D" w:rsidRDefault="00A3059D" w:rsidP="00D10F0D">
            <w:pPr>
              <w:pStyle w:val="Odstavecseseznamem"/>
              <w:numPr>
                <w:ilvl w:val="0"/>
                <w:numId w:val="21"/>
              </w:numPr>
              <w:spacing w:before="0" w:after="0" w:line="240" w:lineRule="auto"/>
              <w:ind w:left="317" w:hanging="317"/>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statistická analýza dat</w:t>
            </w:r>
          </w:p>
          <w:p w14:paraId="0BE64A4C" w14:textId="77777777" w:rsidR="00A3059D" w:rsidRPr="00BB05CE" w:rsidRDefault="00A3059D" w:rsidP="00D10F0D">
            <w:pPr>
              <w:pStyle w:val="Odstavecseseznamem"/>
              <w:numPr>
                <w:ilvl w:val="0"/>
                <w:numId w:val="21"/>
              </w:numPr>
              <w:spacing w:before="0" w:after="0" w:line="240" w:lineRule="auto"/>
              <w:ind w:left="317" w:hanging="317"/>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BB05CE">
              <w:rPr>
                <w:rFonts w:asciiTheme="majorHAnsi" w:hAnsiTheme="majorHAnsi" w:cstheme="majorHAnsi"/>
              </w:rPr>
              <w:t>syntéza</w:t>
            </w:r>
          </w:p>
        </w:tc>
      </w:tr>
    </w:tbl>
    <w:p w14:paraId="1BB4AFC0" w14:textId="77777777" w:rsidR="00635BE8" w:rsidRPr="00635BE8" w:rsidRDefault="00635BE8" w:rsidP="00635BE8">
      <w:pPr>
        <w:spacing w:before="0"/>
        <w:rPr>
          <w:sz w:val="18"/>
          <w:szCs w:val="18"/>
        </w:rPr>
      </w:pPr>
      <w:r w:rsidRPr="00635BE8">
        <w:rPr>
          <w:sz w:val="18"/>
          <w:szCs w:val="18"/>
        </w:rPr>
        <w:t>Zdroj: vlastní zpracování</w:t>
      </w:r>
    </w:p>
    <w:p w14:paraId="7DC70B9F" w14:textId="77777777" w:rsidR="007C0AC4" w:rsidRPr="00D60D76" w:rsidRDefault="007C0AC4" w:rsidP="00805A76">
      <w:pPr>
        <w:spacing w:before="0"/>
        <w:rPr>
          <w:b/>
          <w:i/>
          <w:u w:val="single"/>
        </w:rPr>
      </w:pPr>
      <w:r w:rsidRPr="00D60D76">
        <w:rPr>
          <w:b/>
          <w:i/>
          <w:u w:val="single"/>
        </w:rPr>
        <w:t>Dotazníkové šetření</w:t>
      </w:r>
    </w:p>
    <w:p w14:paraId="5815DFC7" w14:textId="77777777" w:rsidR="00607F89" w:rsidRDefault="007C0AC4" w:rsidP="00805A76">
      <w:pPr>
        <w:spacing w:before="0"/>
      </w:pPr>
      <w:r>
        <w:t xml:space="preserve">V rámci evaluace probíhalo rozsáhlé terénní šetření ve formě dotazníkového šetření. Záměrem evaluátora bylo oslovit široké spektrum </w:t>
      </w:r>
      <w:r w:rsidR="0074489F">
        <w:t>účastníků</w:t>
      </w:r>
      <w:r>
        <w:t xml:space="preserve"> implementace Národní RIS3 strategie s cílem získat jejich pohled na nastavení a funkčnost </w:t>
      </w:r>
      <w:r w:rsidR="00D60D76">
        <w:t xml:space="preserve">celého </w:t>
      </w:r>
      <w:r>
        <w:t xml:space="preserve">systému. </w:t>
      </w:r>
    </w:p>
    <w:p w14:paraId="5A36A970" w14:textId="77777777" w:rsidR="007C0AC4" w:rsidRDefault="007C0AC4" w:rsidP="007C0AC4">
      <w:r>
        <w:t xml:space="preserve">Celkem bylo realizováno 5 dotazníkových šetření, a to v závislosti na konkrétním typu respondentů, resp. jejich roli při implementaci Národní RIS3 strategie. Přehled realizovaných dotazníkových šetření je uveden v následující tabulce. </w:t>
      </w:r>
    </w:p>
    <w:p w14:paraId="7E0F06D9" w14:textId="77777777" w:rsidR="00635BE8" w:rsidRPr="00635BE8" w:rsidRDefault="00C64D59" w:rsidP="00635BE8">
      <w:pPr>
        <w:spacing w:after="0"/>
        <w:rPr>
          <w:i/>
        </w:rPr>
      </w:pPr>
      <w:bookmarkStart w:id="15" w:name="_Ref4422683"/>
      <w:bookmarkStart w:id="16" w:name="_Toc5626512"/>
      <w:r w:rsidRPr="00C64D59">
        <w:rPr>
          <w:rFonts w:cs="Arial-ItalicMT"/>
          <w:b/>
          <w:iCs/>
          <w:szCs w:val="22"/>
        </w:rPr>
        <w:t xml:space="preserve">Tabulka č. </w:t>
      </w:r>
      <w:r w:rsidR="008A090D" w:rsidRPr="00C64D59">
        <w:rPr>
          <w:rFonts w:cs="Arial-ItalicMT"/>
          <w:b/>
          <w:iCs/>
          <w:szCs w:val="22"/>
        </w:rPr>
        <w:fldChar w:fldCharType="begin"/>
      </w:r>
      <w:r w:rsidRPr="00C64D59">
        <w:rPr>
          <w:rFonts w:cs="Arial-ItalicMT"/>
          <w:b/>
          <w:iCs/>
          <w:szCs w:val="22"/>
        </w:rPr>
        <w:instrText xml:space="preserve"> SEQ Tabulka_č._ \* ARABIC </w:instrText>
      </w:r>
      <w:r w:rsidR="008A090D" w:rsidRPr="00C64D59">
        <w:rPr>
          <w:rFonts w:cs="Arial-ItalicMT"/>
          <w:b/>
          <w:iCs/>
          <w:szCs w:val="22"/>
        </w:rPr>
        <w:fldChar w:fldCharType="separate"/>
      </w:r>
      <w:r w:rsidR="002309D5">
        <w:rPr>
          <w:rFonts w:cs="Arial-ItalicMT"/>
          <w:b/>
          <w:iCs/>
          <w:noProof/>
          <w:szCs w:val="22"/>
        </w:rPr>
        <w:t>3</w:t>
      </w:r>
      <w:r w:rsidR="008A090D" w:rsidRPr="00C64D59">
        <w:rPr>
          <w:rFonts w:cs="Arial-ItalicMT"/>
          <w:b/>
          <w:iCs/>
          <w:szCs w:val="22"/>
        </w:rPr>
        <w:fldChar w:fldCharType="end"/>
      </w:r>
      <w:r w:rsidRPr="00C64D59">
        <w:rPr>
          <w:rFonts w:cs="Arial-ItalicMT"/>
          <w:b/>
          <w:iCs/>
          <w:szCs w:val="22"/>
        </w:rPr>
        <w:t xml:space="preserve"> -</w:t>
      </w:r>
      <w:r w:rsidRPr="00D66402">
        <w:rPr>
          <w:rFonts w:cs="Arial-ItalicMT"/>
          <w:iCs/>
          <w:szCs w:val="22"/>
        </w:rPr>
        <w:t xml:space="preserve"> </w:t>
      </w:r>
      <w:r w:rsidR="00635BE8" w:rsidRPr="00635BE8">
        <w:rPr>
          <w:i/>
        </w:rPr>
        <w:t>Přehled typů respondentů dotazníkových šetření</w:t>
      </w:r>
      <w:bookmarkEnd w:id="15"/>
      <w:bookmarkEnd w:id="16"/>
    </w:p>
    <w:tbl>
      <w:tblPr>
        <w:tblStyle w:val="Svtlseznamzvraznn12"/>
        <w:tblW w:w="9214"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1276"/>
        <w:gridCol w:w="7938"/>
      </w:tblGrid>
      <w:tr w:rsidR="00D60D76" w:rsidRPr="00BB05CE" w14:paraId="74F2E748" w14:textId="77777777" w:rsidTr="00D60D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2186B8E2" w14:textId="77777777" w:rsidR="00D60D76" w:rsidRPr="00BB05CE" w:rsidRDefault="00D60D76" w:rsidP="00CF4D21">
            <w:pPr>
              <w:spacing w:before="0" w:after="0" w:line="240" w:lineRule="auto"/>
              <w:rPr>
                <w:rFonts w:asciiTheme="majorHAnsi" w:hAnsiTheme="majorHAnsi" w:cstheme="majorHAnsi"/>
              </w:rPr>
            </w:pPr>
          </w:p>
        </w:tc>
        <w:tc>
          <w:tcPr>
            <w:tcW w:w="7938" w:type="dxa"/>
            <w:vAlign w:val="center"/>
          </w:tcPr>
          <w:p w14:paraId="486F67EE" w14:textId="77777777" w:rsidR="00D60D76" w:rsidRPr="00CA5BCC" w:rsidRDefault="00D60D76" w:rsidP="00CF4D21">
            <w:pPr>
              <w:spacing w:before="0" w:after="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rPr>
            </w:pPr>
            <w:r w:rsidRPr="00CA5BCC">
              <w:rPr>
                <w:rFonts w:asciiTheme="majorHAnsi" w:hAnsiTheme="majorHAnsi" w:cstheme="majorHAnsi"/>
              </w:rPr>
              <w:t>Typ respondentů</w:t>
            </w:r>
          </w:p>
        </w:tc>
      </w:tr>
      <w:tr w:rsidR="00D60D76" w:rsidRPr="00476621" w14:paraId="7DEA243E" w14:textId="77777777" w:rsidTr="00B066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vAlign w:val="center"/>
          </w:tcPr>
          <w:p w14:paraId="259F9C7C" w14:textId="77777777" w:rsidR="00D60D76" w:rsidRPr="0074489F" w:rsidRDefault="00D60D76" w:rsidP="00CF4D21">
            <w:pPr>
              <w:spacing w:before="0" w:after="0" w:line="240" w:lineRule="auto"/>
              <w:rPr>
                <w:rFonts w:eastAsia="Times New Roman" w:cs="Calibri"/>
                <w:b w:val="0"/>
                <w:bCs w:val="0"/>
                <w:color w:val="000000"/>
                <w:lang w:eastAsia="cs-CZ"/>
              </w:rPr>
            </w:pPr>
            <w:r w:rsidRPr="0074489F">
              <w:rPr>
                <w:rFonts w:eastAsia="Times New Roman" w:cs="Calibri"/>
                <w:b w:val="0"/>
                <w:color w:val="000000"/>
                <w:lang w:eastAsia="cs-CZ"/>
              </w:rPr>
              <w:t>DOT 1</w:t>
            </w:r>
          </w:p>
        </w:tc>
        <w:tc>
          <w:tcPr>
            <w:tcW w:w="7938" w:type="dxa"/>
            <w:shd w:val="clear" w:color="auto" w:fill="auto"/>
            <w:vAlign w:val="center"/>
          </w:tcPr>
          <w:p w14:paraId="7743071A" w14:textId="77777777" w:rsidR="00D60D76" w:rsidRDefault="00D60D76" w:rsidP="00CF4D21">
            <w:pPr>
              <w:spacing w:before="0"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Příjemci podpory</w:t>
            </w:r>
          </w:p>
          <w:p w14:paraId="61746A47" w14:textId="77777777" w:rsidR="00D60D76" w:rsidRDefault="00D60D76" w:rsidP="00D10F0D">
            <w:pPr>
              <w:pStyle w:val="Odstavecseseznamem"/>
              <w:numPr>
                <w:ilvl w:val="0"/>
                <w:numId w:val="22"/>
              </w:numPr>
              <w:spacing w:before="0"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Operačních programů s ex-ante kondicionalitou (OP VVV, OP PIK, OP PPR) – DOT1a</w:t>
            </w:r>
          </w:p>
          <w:p w14:paraId="4A1E0D1E" w14:textId="77777777" w:rsidR="00D60D76" w:rsidRPr="006C7A30" w:rsidRDefault="00D60D76" w:rsidP="00D10F0D">
            <w:pPr>
              <w:pStyle w:val="Odstavecseseznamem"/>
              <w:numPr>
                <w:ilvl w:val="0"/>
                <w:numId w:val="22"/>
              </w:numPr>
              <w:spacing w:before="0"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Národních programů podpory (Gama, Epsilon, Centra kompetence, TRIO) – DOT1b</w:t>
            </w:r>
          </w:p>
        </w:tc>
      </w:tr>
      <w:tr w:rsidR="00D60D76" w:rsidRPr="00E37DFD" w14:paraId="53067E3F" w14:textId="77777777" w:rsidTr="00B0666C">
        <w:tc>
          <w:tcPr>
            <w:cnfStyle w:val="001000000000" w:firstRow="0" w:lastRow="0" w:firstColumn="1" w:lastColumn="0" w:oddVBand="0" w:evenVBand="0" w:oddHBand="0" w:evenHBand="0" w:firstRowFirstColumn="0" w:firstRowLastColumn="0" w:lastRowFirstColumn="0" w:lastRowLastColumn="0"/>
            <w:tcW w:w="1276" w:type="dxa"/>
            <w:shd w:val="clear" w:color="auto" w:fill="auto"/>
            <w:vAlign w:val="center"/>
          </w:tcPr>
          <w:p w14:paraId="1A7D5164" w14:textId="77777777" w:rsidR="00D60D76" w:rsidRPr="0074489F" w:rsidRDefault="00D60D76" w:rsidP="00CF4D21">
            <w:pPr>
              <w:spacing w:before="0" w:after="0" w:line="240" w:lineRule="auto"/>
              <w:rPr>
                <w:rFonts w:eastAsia="Times New Roman" w:cs="Calibri"/>
                <w:b w:val="0"/>
                <w:bCs w:val="0"/>
                <w:color w:val="000000"/>
                <w:lang w:eastAsia="cs-CZ"/>
              </w:rPr>
            </w:pPr>
            <w:r w:rsidRPr="0074489F">
              <w:rPr>
                <w:rFonts w:eastAsia="Times New Roman" w:cs="Calibri"/>
                <w:b w:val="0"/>
                <w:color w:val="000000"/>
                <w:lang w:eastAsia="cs-CZ"/>
              </w:rPr>
              <w:t>DOT 2</w:t>
            </w:r>
          </w:p>
        </w:tc>
        <w:tc>
          <w:tcPr>
            <w:tcW w:w="7938" w:type="dxa"/>
            <w:shd w:val="clear" w:color="auto" w:fill="auto"/>
            <w:vAlign w:val="center"/>
          </w:tcPr>
          <w:p w14:paraId="54A82E56" w14:textId="77777777" w:rsidR="00D60D76" w:rsidRPr="006C7A30" w:rsidRDefault="00D60D76" w:rsidP="00CF4D21">
            <w:pPr>
              <w:spacing w:before="0"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Hodnotitelé projektů výše uvedených programů</w:t>
            </w:r>
          </w:p>
        </w:tc>
      </w:tr>
      <w:tr w:rsidR="00D60D76" w:rsidRPr="00476621" w14:paraId="40EF9139" w14:textId="77777777" w:rsidTr="00B066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vAlign w:val="center"/>
          </w:tcPr>
          <w:p w14:paraId="3B260B08" w14:textId="77777777" w:rsidR="00D60D76" w:rsidRPr="0074489F" w:rsidRDefault="00D60D76" w:rsidP="00CF4D21">
            <w:pPr>
              <w:spacing w:before="0" w:after="0" w:line="240" w:lineRule="auto"/>
              <w:rPr>
                <w:rFonts w:eastAsia="Times New Roman" w:cs="Calibri"/>
                <w:b w:val="0"/>
                <w:bCs w:val="0"/>
                <w:color w:val="000000"/>
                <w:lang w:eastAsia="cs-CZ"/>
              </w:rPr>
            </w:pPr>
            <w:r w:rsidRPr="0074489F">
              <w:rPr>
                <w:rFonts w:eastAsia="Times New Roman" w:cs="Calibri"/>
                <w:b w:val="0"/>
                <w:color w:val="000000"/>
                <w:lang w:eastAsia="cs-CZ"/>
              </w:rPr>
              <w:t>DOT 3</w:t>
            </w:r>
          </w:p>
        </w:tc>
        <w:tc>
          <w:tcPr>
            <w:tcW w:w="7938" w:type="dxa"/>
            <w:shd w:val="clear" w:color="auto" w:fill="auto"/>
            <w:vAlign w:val="center"/>
          </w:tcPr>
          <w:p w14:paraId="3D820B12" w14:textId="77777777" w:rsidR="00D60D76" w:rsidRPr="006C7A30" w:rsidRDefault="00D60D76" w:rsidP="00CF4D21">
            <w:pPr>
              <w:spacing w:before="0"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Členové Národních inovačních platforem</w:t>
            </w:r>
          </w:p>
        </w:tc>
      </w:tr>
      <w:tr w:rsidR="00D60D76" w:rsidRPr="00476621" w14:paraId="2DF22C50" w14:textId="77777777" w:rsidTr="00B0666C">
        <w:tc>
          <w:tcPr>
            <w:cnfStyle w:val="001000000000" w:firstRow="0" w:lastRow="0" w:firstColumn="1" w:lastColumn="0" w:oddVBand="0" w:evenVBand="0" w:oddHBand="0" w:evenHBand="0" w:firstRowFirstColumn="0" w:firstRowLastColumn="0" w:lastRowFirstColumn="0" w:lastRowLastColumn="0"/>
            <w:tcW w:w="1276" w:type="dxa"/>
            <w:shd w:val="clear" w:color="auto" w:fill="auto"/>
            <w:vAlign w:val="center"/>
          </w:tcPr>
          <w:p w14:paraId="41A30FD3" w14:textId="77777777" w:rsidR="00D60D76" w:rsidRPr="0074489F" w:rsidRDefault="00D60D76" w:rsidP="00CF4D21">
            <w:pPr>
              <w:spacing w:before="0" w:after="0" w:line="240" w:lineRule="auto"/>
              <w:rPr>
                <w:rFonts w:eastAsia="Times New Roman" w:cs="Calibri"/>
                <w:b w:val="0"/>
                <w:bCs w:val="0"/>
                <w:color w:val="000000"/>
                <w:lang w:eastAsia="cs-CZ"/>
              </w:rPr>
            </w:pPr>
            <w:r w:rsidRPr="0074489F">
              <w:rPr>
                <w:rFonts w:eastAsia="Times New Roman" w:cs="Calibri"/>
                <w:b w:val="0"/>
                <w:color w:val="000000"/>
                <w:lang w:eastAsia="cs-CZ"/>
              </w:rPr>
              <w:t>DOT 4</w:t>
            </w:r>
          </w:p>
        </w:tc>
        <w:tc>
          <w:tcPr>
            <w:tcW w:w="7938" w:type="dxa"/>
            <w:shd w:val="clear" w:color="auto" w:fill="auto"/>
            <w:vAlign w:val="center"/>
          </w:tcPr>
          <w:p w14:paraId="27A2DC82" w14:textId="77777777" w:rsidR="00D60D76" w:rsidRPr="006C7A30" w:rsidRDefault="00D60D76" w:rsidP="00CF4D21">
            <w:pPr>
              <w:spacing w:before="0"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Členové Krajských inovačních platforem a krajských Rad pro inovace (zapojeno všech 14 krajů)</w:t>
            </w:r>
          </w:p>
        </w:tc>
      </w:tr>
      <w:tr w:rsidR="00D60D76" w:rsidRPr="00476621" w14:paraId="5A2E00C4" w14:textId="77777777" w:rsidTr="00B066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vAlign w:val="center"/>
          </w:tcPr>
          <w:p w14:paraId="3E9ABEAC" w14:textId="77777777" w:rsidR="00D60D76" w:rsidRPr="0074489F" w:rsidRDefault="00D60D76" w:rsidP="00CF4D21">
            <w:pPr>
              <w:spacing w:before="0" w:after="0" w:line="240" w:lineRule="auto"/>
              <w:rPr>
                <w:rFonts w:eastAsia="Times New Roman" w:cs="Calibri"/>
                <w:b w:val="0"/>
                <w:bCs w:val="0"/>
                <w:color w:val="000000"/>
                <w:lang w:eastAsia="cs-CZ"/>
              </w:rPr>
            </w:pPr>
            <w:r w:rsidRPr="0074489F">
              <w:rPr>
                <w:rFonts w:eastAsia="Times New Roman" w:cs="Calibri"/>
                <w:b w:val="0"/>
                <w:color w:val="000000"/>
                <w:lang w:eastAsia="cs-CZ"/>
              </w:rPr>
              <w:t>DOT 5</w:t>
            </w:r>
          </w:p>
        </w:tc>
        <w:tc>
          <w:tcPr>
            <w:tcW w:w="7938" w:type="dxa"/>
            <w:shd w:val="clear" w:color="auto" w:fill="auto"/>
            <w:vAlign w:val="center"/>
          </w:tcPr>
          <w:p w14:paraId="51919C82" w14:textId="77777777" w:rsidR="00D60D76" w:rsidRDefault="00D60D76" w:rsidP="00CF4D21">
            <w:pPr>
              <w:spacing w:before="0"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Členové Mezirezortní analytické pracovní skupiny, Krajští RIS3 manažeři, Krajští RIS3 koordinátoři</w:t>
            </w:r>
          </w:p>
        </w:tc>
      </w:tr>
    </w:tbl>
    <w:p w14:paraId="31E03B5E" w14:textId="77777777" w:rsidR="00635BE8" w:rsidRPr="00635BE8" w:rsidRDefault="00635BE8" w:rsidP="00635BE8">
      <w:pPr>
        <w:spacing w:before="0"/>
        <w:rPr>
          <w:sz w:val="18"/>
          <w:szCs w:val="18"/>
        </w:rPr>
      </w:pPr>
      <w:r w:rsidRPr="00635BE8">
        <w:rPr>
          <w:sz w:val="18"/>
          <w:szCs w:val="18"/>
        </w:rPr>
        <w:t>Zdroj: vlastní zpracování</w:t>
      </w:r>
    </w:p>
    <w:p w14:paraId="025248AA" w14:textId="77777777" w:rsidR="007C0AC4" w:rsidRDefault="007C0AC4" w:rsidP="00635BE8">
      <w:r>
        <w:lastRenderedPageBreak/>
        <w:t xml:space="preserve">Všechna uvedená dotazníková šetření byla realizována v elektronické formě, tzn., že respondenti vyplňovali dotazník umístěný na internetu, přičemž byla zachována jejich anonymita. </w:t>
      </w:r>
      <w:r w:rsidR="00D60D76">
        <w:t xml:space="preserve">Následující tabulka kvantifikuje počet respondentů a responzi u jednotlivých šetření. </w:t>
      </w:r>
    </w:p>
    <w:p w14:paraId="29BA481F" w14:textId="77777777" w:rsidR="00635BE8" w:rsidRPr="00635BE8" w:rsidRDefault="00C64D59" w:rsidP="00635BE8">
      <w:pPr>
        <w:spacing w:after="0"/>
        <w:rPr>
          <w:i/>
        </w:rPr>
      </w:pPr>
      <w:bookmarkStart w:id="17" w:name="_Ref4422689"/>
      <w:bookmarkStart w:id="18" w:name="_Toc5626513"/>
      <w:r w:rsidRPr="00C64D59">
        <w:rPr>
          <w:rFonts w:cs="Arial-ItalicMT"/>
          <w:b/>
          <w:iCs/>
          <w:szCs w:val="22"/>
        </w:rPr>
        <w:t xml:space="preserve">Tabulka č. </w:t>
      </w:r>
      <w:r w:rsidR="008A090D" w:rsidRPr="00C64D59">
        <w:rPr>
          <w:rFonts w:cs="Arial-ItalicMT"/>
          <w:b/>
          <w:iCs/>
          <w:szCs w:val="22"/>
        </w:rPr>
        <w:fldChar w:fldCharType="begin"/>
      </w:r>
      <w:r w:rsidRPr="00C64D59">
        <w:rPr>
          <w:rFonts w:cs="Arial-ItalicMT"/>
          <w:b/>
          <w:iCs/>
          <w:szCs w:val="22"/>
        </w:rPr>
        <w:instrText xml:space="preserve"> SEQ Tabulka_č._ \* ARABIC </w:instrText>
      </w:r>
      <w:r w:rsidR="008A090D" w:rsidRPr="00C64D59">
        <w:rPr>
          <w:rFonts w:cs="Arial-ItalicMT"/>
          <w:b/>
          <w:iCs/>
          <w:szCs w:val="22"/>
        </w:rPr>
        <w:fldChar w:fldCharType="separate"/>
      </w:r>
      <w:r w:rsidR="002309D5">
        <w:rPr>
          <w:rFonts w:cs="Arial-ItalicMT"/>
          <w:b/>
          <w:iCs/>
          <w:noProof/>
          <w:szCs w:val="22"/>
        </w:rPr>
        <w:t>4</w:t>
      </w:r>
      <w:r w:rsidR="008A090D" w:rsidRPr="00C64D59">
        <w:rPr>
          <w:rFonts w:cs="Arial-ItalicMT"/>
          <w:b/>
          <w:iCs/>
          <w:szCs w:val="22"/>
        </w:rPr>
        <w:fldChar w:fldCharType="end"/>
      </w:r>
      <w:r w:rsidRPr="00C64D59">
        <w:rPr>
          <w:rFonts w:cs="Arial-ItalicMT"/>
          <w:b/>
          <w:iCs/>
          <w:szCs w:val="22"/>
        </w:rPr>
        <w:t xml:space="preserve"> -</w:t>
      </w:r>
      <w:r w:rsidRPr="00D66402">
        <w:rPr>
          <w:rFonts w:cs="Arial-ItalicMT"/>
          <w:iCs/>
          <w:szCs w:val="22"/>
        </w:rPr>
        <w:t xml:space="preserve"> </w:t>
      </w:r>
      <w:r w:rsidR="00635BE8" w:rsidRPr="00635BE8">
        <w:rPr>
          <w:i/>
        </w:rPr>
        <w:t>Počet oslovených respondentů a návratnost dotazníků</w:t>
      </w:r>
      <w:bookmarkEnd w:id="17"/>
      <w:bookmarkEnd w:id="18"/>
    </w:p>
    <w:tbl>
      <w:tblPr>
        <w:tblStyle w:val="Svtlseznamzvraznn12"/>
        <w:tblW w:w="0" w:type="auto"/>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917"/>
        <w:gridCol w:w="4110"/>
        <w:gridCol w:w="1351"/>
        <w:gridCol w:w="1298"/>
        <w:gridCol w:w="1278"/>
      </w:tblGrid>
      <w:tr w:rsidR="00980E84" w:rsidRPr="00BB05CE" w14:paraId="0C25065C" w14:textId="77777777" w:rsidTr="007448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7" w:type="dxa"/>
            <w:vAlign w:val="center"/>
          </w:tcPr>
          <w:p w14:paraId="6A6DA71A" w14:textId="77777777" w:rsidR="00D60D76" w:rsidRPr="00BB05CE" w:rsidRDefault="00D60D76" w:rsidP="00C13258">
            <w:pPr>
              <w:spacing w:before="0" w:after="0" w:line="240" w:lineRule="auto"/>
              <w:jc w:val="center"/>
              <w:rPr>
                <w:rFonts w:asciiTheme="majorHAnsi" w:hAnsiTheme="majorHAnsi" w:cstheme="majorHAnsi"/>
              </w:rPr>
            </w:pPr>
          </w:p>
        </w:tc>
        <w:tc>
          <w:tcPr>
            <w:tcW w:w="4328" w:type="dxa"/>
            <w:vAlign w:val="center"/>
          </w:tcPr>
          <w:p w14:paraId="0BB07920" w14:textId="77777777" w:rsidR="00D60D76" w:rsidRPr="00BB05CE" w:rsidRDefault="00980E84" w:rsidP="00C13258">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Typ respondentů</w:t>
            </w:r>
          </w:p>
        </w:tc>
        <w:tc>
          <w:tcPr>
            <w:tcW w:w="1359" w:type="dxa"/>
            <w:vAlign w:val="center"/>
          </w:tcPr>
          <w:p w14:paraId="0C236A97" w14:textId="77777777" w:rsidR="00D60D76" w:rsidRPr="00BB05CE" w:rsidRDefault="00980E84" w:rsidP="00C13258">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Počet oslovených</w:t>
            </w:r>
          </w:p>
        </w:tc>
        <w:tc>
          <w:tcPr>
            <w:tcW w:w="1298" w:type="dxa"/>
            <w:vAlign w:val="center"/>
          </w:tcPr>
          <w:p w14:paraId="45BCCB8B" w14:textId="77777777" w:rsidR="00D60D76" w:rsidRPr="00BB05CE" w:rsidRDefault="00980E84" w:rsidP="00C13258">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Počet vyplněných DOT</w:t>
            </w:r>
          </w:p>
        </w:tc>
        <w:tc>
          <w:tcPr>
            <w:tcW w:w="1278" w:type="dxa"/>
            <w:vAlign w:val="center"/>
          </w:tcPr>
          <w:p w14:paraId="76D95F2C" w14:textId="77777777" w:rsidR="00D60D76" w:rsidRPr="00BB05CE" w:rsidRDefault="00980E84" w:rsidP="00C13258">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Návratnost</w:t>
            </w:r>
          </w:p>
        </w:tc>
      </w:tr>
      <w:tr w:rsidR="00980E84" w:rsidRPr="00476621" w14:paraId="015747E8" w14:textId="77777777" w:rsidTr="00B066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7" w:type="dxa"/>
            <w:shd w:val="clear" w:color="auto" w:fill="auto"/>
          </w:tcPr>
          <w:p w14:paraId="0371B624" w14:textId="77777777" w:rsidR="00D60D76" w:rsidRPr="00476621" w:rsidRDefault="00D60D76" w:rsidP="00CF4D21">
            <w:pPr>
              <w:spacing w:before="0" w:after="0" w:line="240" w:lineRule="auto"/>
              <w:jc w:val="left"/>
              <w:rPr>
                <w:rFonts w:cs="Calibri"/>
                <w:b w:val="0"/>
              </w:rPr>
            </w:pPr>
            <w:r>
              <w:rPr>
                <w:rFonts w:cs="Calibri"/>
                <w:b w:val="0"/>
              </w:rPr>
              <w:t>DOT 1a</w:t>
            </w:r>
          </w:p>
        </w:tc>
        <w:tc>
          <w:tcPr>
            <w:tcW w:w="4328" w:type="dxa"/>
            <w:shd w:val="clear" w:color="auto" w:fill="auto"/>
          </w:tcPr>
          <w:p w14:paraId="3C6537D4" w14:textId="77777777" w:rsidR="00D60D76" w:rsidRPr="007C0AC4" w:rsidRDefault="00D60D76" w:rsidP="00980E84">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Příjemci podpory (OP VVV, OP PIK, OP PPR)</w:t>
            </w:r>
          </w:p>
        </w:tc>
        <w:tc>
          <w:tcPr>
            <w:tcW w:w="1359" w:type="dxa"/>
            <w:shd w:val="clear" w:color="auto" w:fill="auto"/>
          </w:tcPr>
          <w:p w14:paraId="121B9510" w14:textId="77777777" w:rsidR="00D60D76" w:rsidRPr="007C0AC4" w:rsidRDefault="00980E84" w:rsidP="00C13258">
            <w:pPr>
              <w:spacing w:before="0" w:after="0" w:line="240" w:lineRule="auto"/>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3 730</w:t>
            </w:r>
          </w:p>
        </w:tc>
        <w:tc>
          <w:tcPr>
            <w:tcW w:w="1298" w:type="dxa"/>
            <w:shd w:val="clear" w:color="auto" w:fill="auto"/>
          </w:tcPr>
          <w:p w14:paraId="47324082" w14:textId="77777777" w:rsidR="00D60D76" w:rsidRPr="007C0AC4" w:rsidRDefault="00C13258" w:rsidP="00C13258">
            <w:pPr>
              <w:spacing w:before="0" w:after="0" w:line="240" w:lineRule="auto"/>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654</w:t>
            </w:r>
          </w:p>
        </w:tc>
        <w:tc>
          <w:tcPr>
            <w:tcW w:w="1278" w:type="dxa"/>
            <w:shd w:val="clear" w:color="auto" w:fill="auto"/>
          </w:tcPr>
          <w:p w14:paraId="6DE18FD1" w14:textId="77777777" w:rsidR="00D60D76" w:rsidRPr="007C0AC4" w:rsidRDefault="00C13258" w:rsidP="00C13258">
            <w:pPr>
              <w:spacing w:before="0" w:after="0" w:line="240" w:lineRule="auto"/>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17,5 %</w:t>
            </w:r>
          </w:p>
        </w:tc>
      </w:tr>
      <w:tr w:rsidR="00980E84" w:rsidRPr="00E37DFD" w14:paraId="15541426" w14:textId="77777777" w:rsidTr="00B0666C">
        <w:tc>
          <w:tcPr>
            <w:cnfStyle w:val="001000000000" w:firstRow="0" w:lastRow="0" w:firstColumn="1" w:lastColumn="0" w:oddVBand="0" w:evenVBand="0" w:oddHBand="0" w:evenHBand="0" w:firstRowFirstColumn="0" w:firstRowLastColumn="0" w:lastRowFirstColumn="0" w:lastRowLastColumn="0"/>
            <w:tcW w:w="917" w:type="dxa"/>
            <w:shd w:val="clear" w:color="auto" w:fill="auto"/>
          </w:tcPr>
          <w:p w14:paraId="0C6E2FE1" w14:textId="77777777" w:rsidR="00D60D76" w:rsidRPr="00E37DFD" w:rsidRDefault="00D60D76" w:rsidP="00CF4D21">
            <w:pPr>
              <w:spacing w:before="0" w:after="0" w:line="240" w:lineRule="auto"/>
              <w:jc w:val="left"/>
              <w:rPr>
                <w:rFonts w:cs="Calibri"/>
                <w:b w:val="0"/>
              </w:rPr>
            </w:pPr>
            <w:r>
              <w:rPr>
                <w:rFonts w:cs="Calibri"/>
                <w:b w:val="0"/>
              </w:rPr>
              <w:t>DOT 1b</w:t>
            </w:r>
          </w:p>
        </w:tc>
        <w:tc>
          <w:tcPr>
            <w:tcW w:w="4328" w:type="dxa"/>
            <w:shd w:val="clear" w:color="auto" w:fill="auto"/>
          </w:tcPr>
          <w:p w14:paraId="7A2F7EBD" w14:textId="77777777" w:rsidR="00D60D76" w:rsidRPr="007C0AC4" w:rsidRDefault="00980E84" w:rsidP="00980E84">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Příjemci podpory (Gama, Epsilon, Centra kompetence, TRIO)</w:t>
            </w:r>
          </w:p>
        </w:tc>
        <w:tc>
          <w:tcPr>
            <w:tcW w:w="1359" w:type="dxa"/>
            <w:shd w:val="clear" w:color="auto" w:fill="auto"/>
          </w:tcPr>
          <w:p w14:paraId="0B1E0041" w14:textId="77777777" w:rsidR="00D60D76" w:rsidRPr="007C0AC4" w:rsidRDefault="00980E84" w:rsidP="00C13258">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839</w:t>
            </w:r>
          </w:p>
        </w:tc>
        <w:tc>
          <w:tcPr>
            <w:tcW w:w="1298" w:type="dxa"/>
            <w:shd w:val="clear" w:color="auto" w:fill="auto"/>
          </w:tcPr>
          <w:p w14:paraId="18FC628E" w14:textId="77777777" w:rsidR="00D60D76" w:rsidRPr="007C0AC4" w:rsidRDefault="00C13258" w:rsidP="00C13258">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287</w:t>
            </w:r>
          </w:p>
        </w:tc>
        <w:tc>
          <w:tcPr>
            <w:tcW w:w="1278" w:type="dxa"/>
            <w:shd w:val="clear" w:color="auto" w:fill="auto"/>
          </w:tcPr>
          <w:p w14:paraId="255DAA1E" w14:textId="77777777" w:rsidR="00D60D76" w:rsidRPr="007C0AC4" w:rsidRDefault="00C13258" w:rsidP="00C13258">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34,2 %</w:t>
            </w:r>
          </w:p>
        </w:tc>
      </w:tr>
      <w:tr w:rsidR="00980E84" w:rsidRPr="00476621" w14:paraId="47D2271C" w14:textId="77777777" w:rsidTr="00B066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7" w:type="dxa"/>
            <w:shd w:val="clear" w:color="auto" w:fill="auto"/>
          </w:tcPr>
          <w:p w14:paraId="5595A1B6" w14:textId="77777777" w:rsidR="00D60D76" w:rsidRPr="00476621" w:rsidRDefault="00D60D76" w:rsidP="00D60D76">
            <w:pPr>
              <w:spacing w:before="0" w:after="0" w:line="240" w:lineRule="auto"/>
              <w:jc w:val="left"/>
              <w:rPr>
                <w:rFonts w:cs="Calibri"/>
                <w:b w:val="0"/>
              </w:rPr>
            </w:pPr>
            <w:r>
              <w:rPr>
                <w:rFonts w:cs="Calibri"/>
                <w:b w:val="0"/>
              </w:rPr>
              <w:t>DOT 2</w:t>
            </w:r>
          </w:p>
        </w:tc>
        <w:tc>
          <w:tcPr>
            <w:tcW w:w="4328" w:type="dxa"/>
            <w:shd w:val="clear" w:color="auto" w:fill="auto"/>
          </w:tcPr>
          <w:p w14:paraId="6869ADE3" w14:textId="77777777" w:rsidR="00D60D76" w:rsidRPr="007C0AC4" w:rsidRDefault="00980E84" w:rsidP="007C0AC4">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Hodnotitelé projektů</w:t>
            </w:r>
          </w:p>
        </w:tc>
        <w:tc>
          <w:tcPr>
            <w:tcW w:w="1359" w:type="dxa"/>
            <w:shd w:val="clear" w:color="auto" w:fill="auto"/>
          </w:tcPr>
          <w:p w14:paraId="3940D773" w14:textId="77777777" w:rsidR="00D60D76" w:rsidRPr="007C0AC4" w:rsidRDefault="00980E84" w:rsidP="00C13258">
            <w:pPr>
              <w:spacing w:before="0" w:after="0" w:line="240" w:lineRule="auto"/>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1 336</w:t>
            </w:r>
          </w:p>
        </w:tc>
        <w:tc>
          <w:tcPr>
            <w:tcW w:w="1298" w:type="dxa"/>
            <w:shd w:val="clear" w:color="auto" w:fill="auto"/>
          </w:tcPr>
          <w:p w14:paraId="07962588" w14:textId="77777777" w:rsidR="00D60D76" w:rsidRPr="007C0AC4" w:rsidRDefault="00C13258" w:rsidP="00C13258">
            <w:pPr>
              <w:spacing w:before="0" w:after="0" w:line="240" w:lineRule="auto"/>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378</w:t>
            </w:r>
          </w:p>
        </w:tc>
        <w:tc>
          <w:tcPr>
            <w:tcW w:w="1278" w:type="dxa"/>
            <w:shd w:val="clear" w:color="auto" w:fill="auto"/>
          </w:tcPr>
          <w:p w14:paraId="262A8236" w14:textId="77777777" w:rsidR="00D60D76" w:rsidRPr="007C0AC4" w:rsidRDefault="00C13258" w:rsidP="00C13258">
            <w:pPr>
              <w:spacing w:before="0" w:after="0" w:line="240" w:lineRule="auto"/>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28,3 %</w:t>
            </w:r>
          </w:p>
        </w:tc>
      </w:tr>
      <w:tr w:rsidR="00980E84" w:rsidRPr="00476621" w14:paraId="5FC0ADA8" w14:textId="77777777" w:rsidTr="00B0666C">
        <w:tc>
          <w:tcPr>
            <w:cnfStyle w:val="001000000000" w:firstRow="0" w:lastRow="0" w:firstColumn="1" w:lastColumn="0" w:oddVBand="0" w:evenVBand="0" w:oddHBand="0" w:evenHBand="0" w:firstRowFirstColumn="0" w:firstRowLastColumn="0" w:lastRowFirstColumn="0" w:lastRowLastColumn="0"/>
            <w:tcW w:w="917" w:type="dxa"/>
            <w:shd w:val="clear" w:color="auto" w:fill="auto"/>
          </w:tcPr>
          <w:p w14:paraId="643340AD" w14:textId="77777777" w:rsidR="00D60D76" w:rsidRPr="00BB05CE" w:rsidRDefault="00D60D76" w:rsidP="00D60D76">
            <w:pPr>
              <w:spacing w:before="0" w:after="0" w:line="240" w:lineRule="auto"/>
              <w:jc w:val="left"/>
              <w:rPr>
                <w:rFonts w:cs="Calibri"/>
                <w:b w:val="0"/>
              </w:rPr>
            </w:pPr>
            <w:r>
              <w:rPr>
                <w:rFonts w:cs="Calibri"/>
                <w:b w:val="0"/>
              </w:rPr>
              <w:t>DOT 3</w:t>
            </w:r>
          </w:p>
        </w:tc>
        <w:tc>
          <w:tcPr>
            <w:tcW w:w="4328" w:type="dxa"/>
            <w:shd w:val="clear" w:color="auto" w:fill="auto"/>
          </w:tcPr>
          <w:p w14:paraId="1D450F15" w14:textId="77777777" w:rsidR="00D60D76" w:rsidRPr="007C0AC4" w:rsidRDefault="00980E84" w:rsidP="00980E84">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Členové NIP</w:t>
            </w:r>
          </w:p>
        </w:tc>
        <w:tc>
          <w:tcPr>
            <w:tcW w:w="1359" w:type="dxa"/>
            <w:shd w:val="clear" w:color="auto" w:fill="auto"/>
          </w:tcPr>
          <w:p w14:paraId="7D60511F" w14:textId="77777777" w:rsidR="00D60D76" w:rsidRPr="007C0AC4" w:rsidRDefault="00980E84" w:rsidP="00C13258">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244</w:t>
            </w:r>
          </w:p>
        </w:tc>
        <w:tc>
          <w:tcPr>
            <w:tcW w:w="1298" w:type="dxa"/>
            <w:shd w:val="clear" w:color="auto" w:fill="auto"/>
          </w:tcPr>
          <w:p w14:paraId="731510D0" w14:textId="77777777" w:rsidR="00D60D76" w:rsidRPr="007C0AC4" w:rsidRDefault="00C13258" w:rsidP="00C13258">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71</w:t>
            </w:r>
          </w:p>
        </w:tc>
        <w:tc>
          <w:tcPr>
            <w:tcW w:w="1278" w:type="dxa"/>
            <w:shd w:val="clear" w:color="auto" w:fill="auto"/>
          </w:tcPr>
          <w:p w14:paraId="0A32F3D3" w14:textId="77777777" w:rsidR="00D60D76" w:rsidRPr="007C0AC4" w:rsidRDefault="00C13258" w:rsidP="00C13258">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29,1 %</w:t>
            </w:r>
          </w:p>
        </w:tc>
      </w:tr>
      <w:tr w:rsidR="00980E84" w:rsidRPr="00476621" w14:paraId="1BB986BC" w14:textId="77777777" w:rsidTr="00B066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7" w:type="dxa"/>
            <w:shd w:val="clear" w:color="auto" w:fill="auto"/>
          </w:tcPr>
          <w:p w14:paraId="7DD2F539" w14:textId="77777777" w:rsidR="00D60D76" w:rsidRPr="00D60D76" w:rsidRDefault="00D60D76" w:rsidP="00CF4D21">
            <w:pPr>
              <w:spacing w:before="0" w:after="0" w:line="240" w:lineRule="auto"/>
              <w:jc w:val="left"/>
              <w:rPr>
                <w:rFonts w:cs="Calibri"/>
                <w:b w:val="0"/>
              </w:rPr>
            </w:pPr>
            <w:r w:rsidRPr="00D60D76">
              <w:rPr>
                <w:rFonts w:cs="Calibri"/>
                <w:b w:val="0"/>
              </w:rPr>
              <w:t>DOT 4</w:t>
            </w:r>
          </w:p>
        </w:tc>
        <w:tc>
          <w:tcPr>
            <w:tcW w:w="4328" w:type="dxa"/>
            <w:shd w:val="clear" w:color="auto" w:fill="auto"/>
          </w:tcPr>
          <w:p w14:paraId="21167AD4" w14:textId="77777777" w:rsidR="00D60D76" w:rsidRPr="007C0AC4" w:rsidRDefault="00980E84" w:rsidP="007C0AC4">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Členové KIP a KRI</w:t>
            </w:r>
          </w:p>
        </w:tc>
        <w:tc>
          <w:tcPr>
            <w:tcW w:w="1359" w:type="dxa"/>
            <w:shd w:val="clear" w:color="auto" w:fill="auto"/>
          </w:tcPr>
          <w:p w14:paraId="7672D8E0" w14:textId="77777777" w:rsidR="00D60D76" w:rsidRPr="007C0AC4" w:rsidRDefault="00980E84" w:rsidP="00C13258">
            <w:pPr>
              <w:spacing w:before="0" w:after="0" w:line="240" w:lineRule="auto"/>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w:t>
            </w:r>
          </w:p>
        </w:tc>
        <w:tc>
          <w:tcPr>
            <w:tcW w:w="1298" w:type="dxa"/>
            <w:shd w:val="clear" w:color="auto" w:fill="auto"/>
          </w:tcPr>
          <w:p w14:paraId="2EF6FC9E" w14:textId="77777777" w:rsidR="00D60D76" w:rsidRPr="007C0AC4" w:rsidRDefault="00C13258" w:rsidP="00C13258">
            <w:pPr>
              <w:spacing w:before="0" w:after="0" w:line="240" w:lineRule="auto"/>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116</w:t>
            </w:r>
          </w:p>
        </w:tc>
        <w:tc>
          <w:tcPr>
            <w:tcW w:w="1278" w:type="dxa"/>
            <w:shd w:val="clear" w:color="auto" w:fill="auto"/>
          </w:tcPr>
          <w:p w14:paraId="5445FAF6" w14:textId="77777777" w:rsidR="00D60D76" w:rsidRPr="007C0AC4" w:rsidRDefault="00C13258" w:rsidP="00C13258">
            <w:pPr>
              <w:spacing w:before="0" w:after="0" w:line="240" w:lineRule="auto"/>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w:t>
            </w:r>
          </w:p>
        </w:tc>
      </w:tr>
      <w:tr w:rsidR="00980E84" w:rsidRPr="00476621" w14:paraId="474E7911" w14:textId="77777777" w:rsidTr="00B0666C">
        <w:tc>
          <w:tcPr>
            <w:cnfStyle w:val="001000000000" w:firstRow="0" w:lastRow="0" w:firstColumn="1" w:lastColumn="0" w:oddVBand="0" w:evenVBand="0" w:oddHBand="0" w:evenHBand="0" w:firstRowFirstColumn="0" w:firstRowLastColumn="0" w:lastRowFirstColumn="0" w:lastRowLastColumn="0"/>
            <w:tcW w:w="917" w:type="dxa"/>
            <w:shd w:val="clear" w:color="auto" w:fill="auto"/>
          </w:tcPr>
          <w:p w14:paraId="3772AC32" w14:textId="77777777" w:rsidR="00D60D76" w:rsidRPr="00D60D76" w:rsidRDefault="00D60D76" w:rsidP="00CF4D21">
            <w:pPr>
              <w:spacing w:before="0" w:after="0" w:line="240" w:lineRule="auto"/>
              <w:jc w:val="left"/>
              <w:rPr>
                <w:rFonts w:cs="Calibri"/>
                <w:b w:val="0"/>
              </w:rPr>
            </w:pPr>
            <w:r w:rsidRPr="00D60D76">
              <w:rPr>
                <w:rFonts w:cs="Calibri"/>
                <w:b w:val="0"/>
              </w:rPr>
              <w:t>DOT 5</w:t>
            </w:r>
          </w:p>
        </w:tc>
        <w:tc>
          <w:tcPr>
            <w:tcW w:w="4328" w:type="dxa"/>
            <w:shd w:val="clear" w:color="auto" w:fill="auto"/>
          </w:tcPr>
          <w:p w14:paraId="4544C218" w14:textId="77777777" w:rsidR="00D60D76" w:rsidRPr="007C0AC4" w:rsidRDefault="00980E84" w:rsidP="007C0AC4">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Členové MAPS, krajští RIS3 koordinátoři/manažeři</w:t>
            </w:r>
          </w:p>
        </w:tc>
        <w:tc>
          <w:tcPr>
            <w:tcW w:w="1359" w:type="dxa"/>
            <w:shd w:val="clear" w:color="auto" w:fill="auto"/>
          </w:tcPr>
          <w:p w14:paraId="79D6FAF1" w14:textId="77777777" w:rsidR="00D60D76" w:rsidRPr="007C0AC4" w:rsidRDefault="00980E84" w:rsidP="00C13258">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44</w:t>
            </w:r>
          </w:p>
        </w:tc>
        <w:tc>
          <w:tcPr>
            <w:tcW w:w="1298" w:type="dxa"/>
            <w:shd w:val="clear" w:color="auto" w:fill="auto"/>
          </w:tcPr>
          <w:p w14:paraId="4765E2CA" w14:textId="77777777" w:rsidR="00D60D76" w:rsidRPr="007C0AC4" w:rsidRDefault="00C13258" w:rsidP="00C13258">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16</w:t>
            </w:r>
          </w:p>
        </w:tc>
        <w:tc>
          <w:tcPr>
            <w:tcW w:w="1278" w:type="dxa"/>
            <w:shd w:val="clear" w:color="auto" w:fill="auto"/>
          </w:tcPr>
          <w:p w14:paraId="2ABA474F" w14:textId="77777777" w:rsidR="00D60D76" w:rsidRPr="007C0AC4" w:rsidRDefault="00C13258" w:rsidP="00C13258">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36 %</w:t>
            </w:r>
          </w:p>
        </w:tc>
      </w:tr>
      <w:tr w:rsidR="00980E84" w:rsidRPr="00980E84" w14:paraId="2FE273A0" w14:textId="77777777" w:rsidTr="00B066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7" w:type="dxa"/>
            <w:shd w:val="clear" w:color="auto" w:fill="auto"/>
          </w:tcPr>
          <w:p w14:paraId="28875313" w14:textId="77777777" w:rsidR="00980E84" w:rsidRPr="00C13258" w:rsidRDefault="00980E84" w:rsidP="00CF4D21">
            <w:pPr>
              <w:spacing w:before="0" w:after="0" w:line="240" w:lineRule="auto"/>
              <w:jc w:val="left"/>
              <w:rPr>
                <w:rFonts w:asciiTheme="majorHAnsi" w:hAnsiTheme="majorHAnsi" w:cstheme="majorHAnsi"/>
              </w:rPr>
            </w:pPr>
            <w:r w:rsidRPr="00C13258">
              <w:rPr>
                <w:rFonts w:asciiTheme="majorHAnsi" w:hAnsiTheme="majorHAnsi" w:cstheme="majorHAnsi"/>
              </w:rPr>
              <w:t>Celkem</w:t>
            </w:r>
          </w:p>
        </w:tc>
        <w:tc>
          <w:tcPr>
            <w:tcW w:w="4328" w:type="dxa"/>
            <w:shd w:val="clear" w:color="auto" w:fill="auto"/>
          </w:tcPr>
          <w:p w14:paraId="6A8AC7D5" w14:textId="77777777" w:rsidR="00980E84" w:rsidRPr="00980E84" w:rsidRDefault="00980E84" w:rsidP="007C0AC4">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c>
          <w:tcPr>
            <w:tcW w:w="1359" w:type="dxa"/>
            <w:shd w:val="clear" w:color="auto" w:fill="auto"/>
          </w:tcPr>
          <w:p w14:paraId="69211E9A" w14:textId="77777777" w:rsidR="00980E84" w:rsidRPr="00C13258" w:rsidRDefault="00980E84" w:rsidP="00C13258">
            <w:pPr>
              <w:spacing w:before="0" w:after="0" w:line="240" w:lineRule="auto"/>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rPr>
            </w:pPr>
            <w:r w:rsidRPr="00C13258">
              <w:rPr>
                <w:rFonts w:asciiTheme="majorHAnsi" w:hAnsiTheme="majorHAnsi" w:cstheme="majorHAnsi"/>
                <w:b/>
              </w:rPr>
              <w:t>&gt; 6 500</w:t>
            </w:r>
          </w:p>
        </w:tc>
        <w:tc>
          <w:tcPr>
            <w:tcW w:w="1298" w:type="dxa"/>
            <w:shd w:val="clear" w:color="auto" w:fill="auto"/>
          </w:tcPr>
          <w:p w14:paraId="369FED30" w14:textId="77777777" w:rsidR="00980E84" w:rsidRPr="00C13258" w:rsidRDefault="00C13258" w:rsidP="00C13258">
            <w:pPr>
              <w:spacing w:before="0" w:after="0" w:line="240" w:lineRule="auto"/>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rPr>
            </w:pPr>
            <w:r w:rsidRPr="00C13258">
              <w:rPr>
                <w:rFonts w:asciiTheme="majorHAnsi" w:hAnsiTheme="majorHAnsi" w:cstheme="majorHAnsi"/>
                <w:b/>
              </w:rPr>
              <w:t>1 522</w:t>
            </w:r>
          </w:p>
        </w:tc>
        <w:tc>
          <w:tcPr>
            <w:tcW w:w="1278" w:type="dxa"/>
            <w:shd w:val="clear" w:color="auto" w:fill="auto"/>
          </w:tcPr>
          <w:p w14:paraId="305B0BDA" w14:textId="77777777" w:rsidR="00980E84" w:rsidRPr="00980E84" w:rsidRDefault="00980E84" w:rsidP="00C13258">
            <w:pPr>
              <w:spacing w:before="0" w:after="0" w:line="240" w:lineRule="auto"/>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bl>
    <w:p w14:paraId="1D7A9B44" w14:textId="77777777" w:rsidR="00635BE8" w:rsidRPr="00635BE8" w:rsidRDefault="00635BE8" w:rsidP="00635BE8">
      <w:pPr>
        <w:spacing w:before="0"/>
        <w:rPr>
          <w:sz w:val="18"/>
          <w:szCs w:val="18"/>
        </w:rPr>
      </w:pPr>
      <w:r w:rsidRPr="00635BE8">
        <w:rPr>
          <w:sz w:val="18"/>
          <w:szCs w:val="18"/>
        </w:rPr>
        <w:t xml:space="preserve">Zdroj: </w:t>
      </w:r>
      <w:r>
        <w:rPr>
          <w:sz w:val="18"/>
          <w:szCs w:val="18"/>
        </w:rPr>
        <w:t xml:space="preserve">statistika dotazníkového šetření, </w:t>
      </w:r>
      <w:r w:rsidRPr="00635BE8">
        <w:rPr>
          <w:sz w:val="18"/>
          <w:szCs w:val="18"/>
        </w:rPr>
        <w:t>vlastní zpracování</w:t>
      </w:r>
    </w:p>
    <w:p w14:paraId="03A346E4" w14:textId="77777777" w:rsidR="00635BE8" w:rsidRDefault="00635BE8" w:rsidP="00635BE8">
      <w:r>
        <w:t>Pro každé z uvedených dotazníkových šetření bylo zpracováno samostatné vyhodnocení výsledků, kter</w:t>
      </w:r>
      <w:r w:rsidR="00CF4D21">
        <w:t>á</w:t>
      </w:r>
      <w:r>
        <w:t xml:space="preserve"> j</w:t>
      </w:r>
      <w:r w:rsidR="00CF4D21">
        <w:t>sou</w:t>
      </w:r>
      <w:r>
        <w:t xml:space="preserve"> součástí Závěrečné evaluační zprávy jako </w:t>
      </w:r>
      <w:r w:rsidR="00E51AD2">
        <w:t>dílčí část</w:t>
      </w:r>
      <w:r w:rsidR="00CF4D21">
        <w:t>i</w:t>
      </w:r>
      <w:r>
        <w:t xml:space="preserve"> technické přílohy. </w:t>
      </w:r>
    </w:p>
    <w:p w14:paraId="29E33B5F" w14:textId="77777777" w:rsidR="00607F89" w:rsidRPr="00E462E5" w:rsidRDefault="00E462E5" w:rsidP="00805A76">
      <w:pPr>
        <w:spacing w:before="0"/>
        <w:rPr>
          <w:b/>
          <w:u w:val="single"/>
        </w:rPr>
      </w:pPr>
      <w:r w:rsidRPr="00E462E5">
        <w:rPr>
          <w:b/>
          <w:u w:val="single"/>
        </w:rPr>
        <w:t>Evaluační rozhovory</w:t>
      </w:r>
      <w:r w:rsidR="0062568B">
        <w:rPr>
          <w:b/>
          <w:u w:val="single"/>
        </w:rPr>
        <w:t>/Pozorování</w:t>
      </w:r>
    </w:p>
    <w:p w14:paraId="0D697B3D" w14:textId="683A6B33" w:rsidR="00E462E5" w:rsidRPr="00805A76" w:rsidRDefault="00E462E5" w:rsidP="00805A76">
      <w:pPr>
        <w:spacing w:before="0"/>
      </w:pPr>
      <w:r>
        <w:t>Doplňkovým zdrojem informací získaných z terénního šetření byly rozhovory. Evaluátor realizoval celkem 6 rozhovorů – 3 rozhovory s předsednictvem ŘV RIS3 a 3 rozhovory se zástupci RIS3 týmů vybraných krajů (Moravskoslezský, Olomoucký, Vysočina). V případě Moravskoslezského a</w:t>
      </w:r>
      <w:r w:rsidR="00FF616A">
        <w:t> </w:t>
      </w:r>
      <w:r>
        <w:t>Olomouckého kraje evaluační rozhovory nahrazovaly dotazníkové šetření</w:t>
      </w:r>
      <w:r>
        <w:rPr>
          <w:rStyle w:val="Znakapoznpodarou"/>
        </w:rPr>
        <w:footnoteReference w:id="6"/>
      </w:r>
      <w:r>
        <w:t>.</w:t>
      </w:r>
    </w:p>
    <w:p w14:paraId="22A990D4" w14:textId="77777777" w:rsidR="0062568B" w:rsidRPr="0062568B" w:rsidRDefault="0062568B" w:rsidP="0062568B">
      <w:pPr>
        <w:rPr>
          <w:lang w:bidi="ar-SA"/>
        </w:rPr>
      </w:pPr>
      <w:r>
        <w:rPr>
          <w:lang w:bidi="ar-SA"/>
        </w:rPr>
        <w:t xml:space="preserve">Specifickou formu terénního šetření představovala účast evaluátora (pozorování) na klíčových jednáních různých platforem/uskupení v průběhu celé evaluace (NIP, ŘV RIS3, MAPS, setkání s kraji apod.), což mu umožnilo získat reálný obrázek o konkrétní náplni činnosti těchto uskupení a jejich postavení v rámci celého systému Národní RIS3 strategie. </w:t>
      </w:r>
    </w:p>
    <w:p w14:paraId="5E25DB4C" w14:textId="77777777" w:rsidR="00E5131B" w:rsidRDefault="00E5131B" w:rsidP="00A87B53">
      <w:pPr>
        <w:pStyle w:val="Nadpis2"/>
        <w:keepNext/>
        <w:keepLines/>
        <w:numPr>
          <w:ilvl w:val="0"/>
          <w:numId w:val="0"/>
        </w:numPr>
        <w:pBdr>
          <w:top w:val="none" w:sz="0" w:space="0" w:color="auto"/>
          <w:left w:val="none" w:sz="0" w:space="0" w:color="auto"/>
        </w:pBdr>
        <w:shd w:val="clear" w:color="auto" w:fill="auto"/>
        <w:spacing w:before="200" w:after="0"/>
        <w:jc w:val="left"/>
        <w:rPr>
          <w:rFonts w:asciiTheme="majorHAnsi" w:eastAsiaTheme="majorEastAsia" w:hAnsiTheme="majorHAnsi" w:cstheme="majorBidi"/>
          <w:bCs/>
          <w:color w:val="004B8D"/>
          <w:spacing w:val="0"/>
          <w:szCs w:val="26"/>
          <w:lang w:bidi="ar-SA"/>
        </w:rPr>
      </w:pPr>
    </w:p>
    <w:p w14:paraId="6D5ADAFB" w14:textId="77777777" w:rsidR="00A640B4" w:rsidRPr="00A640B4" w:rsidRDefault="00A95FFF" w:rsidP="00A640B4">
      <w:pPr>
        <w:pStyle w:val="Nadpis2"/>
        <w:keepNext/>
        <w:keepLines/>
        <w:numPr>
          <w:ilvl w:val="0"/>
          <w:numId w:val="0"/>
        </w:numPr>
        <w:pBdr>
          <w:top w:val="none" w:sz="0" w:space="0" w:color="auto"/>
          <w:left w:val="none" w:sz="0" w:space="0" w:color="auto"/>
        </w:pBdr>
        <w:shd w:val="clear" w:color="auto" w:fill="auto"/>
        <w:spacing w:before="200" w:after="0"/>
        <w:jc w:val="left"/>
        <w:rPr>
          <w:rFonts w:asciiTheme="majorHAnsi" w:eastAsiaTheme="majorEastAsia" w:hAnsiTheme="majorHAnsi" w:cstheme="majorBidi"/>
          <w:bCs/>
          <w:color w:val="004B8D"/>
          <w:spacing w:val="0"/>
          <w:szCs w:val="26"/>
          <w:lang w:bidi="ar-SA"/>
        </w:rPr>
      </w:pPr>
      <w:bookmarkStart w:id="19" w:name="_Toc5626439"/>
      <w:r>
        <w:rPr>
          <w:rFonts w:asciiTheme="majorHAnsi" w:eastAsiaTheme="majorEastAsia" w:hAnsiTheme="majorHAnsi" w:cstheme="majorBidi"/>
          <w:bCs/>
          <w:color w:val="004B8D"/>
          <w:spacing w:val="0"/>
          <w:szCs w:val="26"/>
          <w:lang w:bidi="ar-SA"/>
        </w:rPr>
        <w:t>1</w:t>
      </w:r>
      <w:r w:rsidR="00A640B4" w:rsidRPr="00A640B4">
        <w:rPr>
          <w:rFonts w:asciiTheme="majorHAnsi" w:eastAsiaTheme="majorEastAsia" w:hAnsiTheme="majorHAnsi" w:cstheme="majorBidi"/>
          <w:bCs/>
          <w:color w:val="004B8D"/>
          <w:spacing w:val="0"/>
          <w:szCs w:val="26"/>
          <w:lang w:bidi="ar-SA"/>
        </w:rPr>
        <w:t>.3 Limity evaluace</w:t>
      </w:r>
      <w:bookmarkEnd w:id="19"/>
    </w:p>
    <w:p w14:paraId="518FD05C" w14:textId="77777777" w:rsidR="00A640B4" w:rsidRDefault="00A640B4" w:rsidP="00A640B4">
      <w:pPr>
        <w:rPr>
          <w:lang w:bidi="ar-SA"/>
        </w:rPr>
      </w:pPr>
      <w:r>
        <w:rPr>
          <w:lang w:bidi="ar-SA"/>
        </w:rPr>
        <w:t xml:space="preserve">V průběhu evaluace byly identifikovány tyto limity: </w:t>
      </w:r>
    </w:p>
    <w:p w14:paraId="153938F5" w14:textId="77777777" w:rsidR="00A640B4" w:rsidRDefault="00A640B4" w:rsidP="00D10F0D">
      <w:pPr>
        <w:pStyle w:val="Odstavecseseznamem"/>
        <w:numPr>
          <w:ilvl w:val="0"/>
          <w:numId w:val="23"/>
        </w:numPr>
        <w:ind w:left="426" w:hanging="426"/>
        <w:rPr>
          <w:lang w:bidi="ar-SA"/>
        </w:rPr>
      </w:pPr>
      <w:r>
        <w:rPr>
          <w:lang w:bidi="ar-SA"/>
        </w:rPr>
        <w:t>Nedostupnost některých dat k prováděným analýzám</w:t>
      </w:r>
    </w:p>
    <w:p w14:paraId="4F4AD92F" w14:textId="77777777" w:rsidR="00E0721C" w:rsidRDefault="00A640B4" w:rsidP="00A640B4">
      <w:pPr>
        <w:pStyle w:val="Odstavecseseznamem"/>
        <w:ind w:left="426"/>
        <w:rPr>
          <w:lang w:bidi="ar-SA"/>
        </w:rPr>
      </w:pPr>
      <w:r>
        <w:rPr>
          <w:lang w:bidi="ar-SA"/>
        </w:rPr>
        <w:t xml:space="preserve">Významným limitem pro evaluaci se ukázal omezený přístup Oddělení S3, resp. </w:t>
      </w:r>
      <w:r w:rsidR="00A27385">
        <w:rPr>
          <w:lang w:bidi="ar-SA"/>
        </w:rPr>
        <w:t>N</w:t>
      </w:r>
      <w:r>
        <w:rPr>
          <w:lang w:bidi="ar-SA"/>
        </w:rPr>
        <w:t xml:space="preserve">árodního </w:t>
      </w:r>
      <w:r w:rsidR="00A27385">
        <w:rPr>
          <w:lang w:bidi="ar-SA"/>
        </w:rPr>
        <w:t>RIS3 manažera</w:t>
      </w:r>
      <w:r>
        <w:rPr>
          <w:lang w:bidi="ar-SA"/>
        </w:rPr>
        <w:t xml:space="preserve"> k datům</w:t>
      </w:r>
      <w:r w:rsidR="00A27385">
        <w:rPr>
          <w:lang w:bidi="ar-SA"/>
        </w:rPr>
        <w:t xml:space="preserve">, na jejichž základě je možné hodnotit věcný a finanční pokrok při </w:t>
      </w:r>
      <w:r w:rsidR="00A27385">
        <w:rPr>
          <w:lang w:bidi="ar-SA"/>
        </w:rPr>
        <w:lastRenderedPageBreak/>
        <w:t xml:space="preserve">naplňování Národní RIS3 strategie. </w:t>
      </w:r>
      <w:r w:rsidR="00420A37">
        <w:rPr>
          <w:lang w:bidi="ar-SA"/>
        </w:rPr>
        <w:t>Oddělení S3 nemá přístup do MS2014+</w:t>
      </w:r>
      <w:r w:rsidR="00420A37">
        <w:rPr>
          <w:rStyle w:val="Znakapoznpodarou"/>
          <w:lang w:bidi="ar-SA"/>
        </w:rPr>
        <w:footnoteReference w:id="7"/>
      </w:r>
      <w:r w:rsidR="00420A37">
        <w:rPr>
          <w:lang w:bidi="ar-SA"/>
        </w:rPr>
        <w:t xml:space="preserve">, požadovaná data týkající se operačních programů tudíž musí vyžádat od jednotlivých řídicích orgánů, což je časově i personálně náročné. </w:t>
      </w:r>
      <w:r w:rsidR="00BD1ADD">
        <w:rPr>
          <w:lang w:bidi="ar-SA"/>
        </w:rPr>
        <w:t xml:space="preserve">Struktura databáze MS2014+ je nedostatečná pro potřeby hodnocení Národní RIS3 strategie. </w:t>
      </w:r>
    </w:p>
    <w:p w14:paraId="057AB32C" w14:textId="77777777" w:rsidR="00A640B4" w:rsidRDefault="00E0721C" w:rsidP="00E0721C">
      <w:pPr>
        <w:pStyle w:val="Odstavecseseznamem"/>
        <w:ind w:left="425"/>
        <w:contextualSpacing w:val="0"/>
        <w:rPr>
          <w:lang w:bidi="ar-SA"/>
        </w:rPr>
      </w:pPr>
      <w:r>
        <w:rPr>
          <w:lang w:bidi="ar-SA"/>
        </w:rPr>
        <w:t>Jako další</w:t>
      </w:r>
      <w:r w:rsidR="00F85781">
        <w:rPr>
          <w:lang w:bidi="ar-SA"/>
        </w:rPr>
        <w:t>m</w:t>
      </w:r>
      <w:r>
        <w:rPr>
          <w:lang w:bidi="ar-SA"/>
        </w:rPr>
        <w:t xml:space="preserve"> limit</w:t>
      </w:r>
      <w:r w:rsidR="00F85781">
        <w:rPr>
          <w:lang w:bidi="ar-SA"/>
        </w:rPr>
        <w:t>em</w:t>
      </w:r>
      <w:r>
        <w:rPr>
          <w:lang w:bidi="ar-SA"/>
        </w:rPr>
        <w:t xml:space="preserve"> se </w:t>
      </w:r>
      <w:r w:rsidR="00BD1ADD">
        <w:rPr>
          <w:lang w:bidi="ar-SA"/>
        </w:rPr>
        <w:t xml:space="preserve">ukázalo, že evaluátor mohl využívat pouze veřejně přístupná data. </w:t>
      </w:r>
      <w:r>
        <w:rPr>
          <w:lang w:bidi="ar-SA"/>
        </w:rPr>
        <w:t xml:space="preserve">  </w:t>
      </w:r>
      <w:r w:rsidR="00420A37">
        <w:rPr>
          <w:lang w:bidi="ar-SA"/>
        </w:rPr>
        <w:t xml:space="preserve">   </w:t>
      </w:r>
      <w:r w:rsidR="00A27385">
        <w:rPr>
          <w:lang w:bidi="ar-SA"/>
        </w:rPr>
        <w:t xml:space="preserve"> </w:t>
      </w:r>
    </w:p>
    <w:p w14:paraId="4F386352" w14:textId="77777777" w:rsidR="00A640B4" w:rsidRDefault="00A640B4" w:rsidP="00D10F0D">
      <w:pPr>
        <w:pStyle w:val="Odstavecseseznamem"/>
        <w:numPr>
          <w:ilvl w:val="0"/>
          <w:numId w:val="23"/>
        </w:numPr>
        <w:ind w:left="426" w:hanging="426"/>
        <w:rPr>
          <w:lang w:bidi="ar-SA"/>
        </w:rPr>
      </w:pPr>
      <w:r>
        <w:rPr>
          <w:lang w:bidi="ar-SA"/>
        </w:rPr>
        <w:t>Nekoordinovanost evaluačních aktivit napříč programy</w:t>
      </w:r>
    </w:p>
    <w:p w14:paraId="41470D71" w14:textId="24F294D6" w:rsidR="00E0721C" w:rsidRPr="00A640B4" w:rsidRDefault="00E0721C" w:rsidP="00E0721C">
      <w:pPr>
        <w:pStyle w:val="Odstavecseseznamem"/>
        <w:ind w:left="426"/>
        <w:rPr>
          <w:lang w:bidi="ar-SA"/>
        </w:rPr>
      </w:pPr>
      <w:r>
        <w:rPr>
          <w:lang w:bidi="ar-SA"/>
        </w:rPr>
        <w:t>S ohledem na minimální časovou a věcnou koordinaci evaluací operačních programů</w:t>
      </w:r>
      <w:r w:rsidR="00FA3D53">
        <w:rPr>
          <w:lang w:bidi="ar-SA"/>
        </w:rPr>
        <w:t xml:space="preserve"> a</w:t>
      </w:r>
      <w:r w:rsidR="00BC0814">
        <w:rPr>
          <w:lang w:bidi="ar-SA"/>
        </w:rPr>
        <w:t> </w:t>
      </w:r>
      <w:r w:rsidR="00FA3D53">
        <w:rPr>
          <w:lang w:bidi="ar-SA"/>
        </w:rPr>
        <w:t>národních programů podpory</w:t>
      </w:r>
      <w:r>
        <w:rPr>
          <w:lang w:bidi="ar-SA"/>
        </w:rPr>
        <w:t xml:space="preserve"> s evaluací Národní RIS3 strategie nebylo možné využít zjištění a závěr</w:t>
      </w:r>
      <w:r w:rsidR="00FA3D53">
        <w:rPr>
          <w:lang w:bidi="ar-SA"/>
        </w:rPr>
        <w:t>y</w:t>
      </w:r>
      <w:r>
        <w:rPr>
          <w:lang w:bidi="ar-SA"/>
        </w:rPr>
        <w:t xml:space="preserve"> z</w:t>
      </w:r>
      <w:r w:rsidR="00FA3D53">
        <w:rPr>
          <w:lang w:bidi="ar-SA"/>
        </w:rPr>
        <w:t xml:space="preserve"> těchto </w:t>
      </w:r>
      <w:r>
        <w:rPr>
          <w:lang w:bidi="ar-SA"/>
        </w:rPr>
        <w:t>evaluací</w:t>
      </w:r>
      <w:r w:rsidR="00FA3D53">
        <w:rPr>
          <w:lang w:bidi="ar-SA"/>
        </w:rPr>
        <w:t xml:space="preserve">. </w:t>
      </w:r>
      <w:r w:rsidR="00F85781">
        <w:rPr>
          <w:lang w:bidi="ar-SA"/>
        </w:rPr>
        <w:t xml:space="preserve">Buď zadání těchto dílčích evaluací neobsahovalo analýzu vztahující se k příspěvku daného programu k plnění cílů Národní RIS3 strategie nebo se evaluace časově míjejí. </w:t>
      </w:r>
      <w:r w:rsidR="00547120">
        <w:rPr>
          <w:lang w:bidi="ar-SA"/>
        </w:rPr>
        <w:t>Do budoucna j</w:t>
      </w:r>
      <w:r w:rsidR="00FA3D53">
        <w:rPr>
          <w:lang w:bidi="ar-SA"/>
        </w:rPr>
        <w:t>e nezbytné zabezpečit koordinaci evaluačních aktivit minimálně u</w:t>
      </w:r>
      <w:r w:rsidR="00BC0814">
        <w:rPr>
          <w:lang w:bidi="ar-SA"/>
        </w:rPr>
        <w:t> </w:t>
      </w:r>
      <w:r>
        <w:rPr>
          <w:lang w:bidi="ar-SA"/>
        </w:rPr>
        <w:t xml:space="preserve">operačních programů, pro něž představuje Národní RIS3 strategie ex-ante kondicionalitu.  </w:t>
      </w:r>
    </w:p>
    <w:p w14:paraId="5DDB7AEC" w14:textId="77777777" w:rsidR="00E0721C" w:rsidRDefault="00E0721C" w:rsidP="00A87B53">
      <w:pPr>
        <w:pStyle w:val="Nadpis2"/>
        <w:keepNext/>
        <w:keepLines/>
        <w:numPr>
          <w:ilvl w:val="0"/>
          <w:numId w:val="0"/>
        </w:numPr>
        <w:pBdr>
          <w:top w:val="none" w:sz="0" w:space="0" w:color="auto"/>
          <w:left w:val="none" w:sz="0" w:space="0" w:color="auto"/>
        </w:pBdr>
        <w:shd w:val="clear" w:color="auto" w:fill="auto"/>
        <w:spacing w:before="200" w:after="0"/>
        <w:jc w:val="left"/>
        <w:rPr>
          <w:rFonts w:asciiTheme="majorHAnsi" w:eastAsiaTheme="majorEastAsia" w:hAnsiTheme="majorHAnsi" w:cstheme="majorBidi"/>
          <w:bCs/>
          <w:color w:val="004B8D"/>
          <w:spacing w:val="0"/>
          <w:szCs w:val="26"/>
          <w:lang w:bidi="ar-SA"/>
        </w:rPr>
      </w:pPr>
    </w:p>
    <w:p w14:paraId="48078587" w14:textId="77777777" w:rsidR="00DA1025" w:rsidRDefault="00DA1025">
      <w:pPr>
        <w:spacing w:before="0" w:after="0" w:line="240" w:lineRule="auto"/>
        <w:jc w:val="left"/>
        <w:rPr>
          <w:rFonts w:asciiTheme="majorHAnsi" w:eastAsiaTheme="majorEastAsia" w:hAnsiTheme="majorHAnsi" w:cstheme="majorBidi"/>
          <w:b/>
          <w:bCs/>
          <w:color w:val="004B8D"/>
          <w:spacing w:val="0"/>
          <w:sz w:val="26"/>
          <w:szCs w:val="26"/>
          <w:lang w:bidi="ar-SA"/>
        </w:rPr>
      </w:pPr>
      <w:r>
        <w:rPr>
          <w:rFonts w:asciiTheme="majorHAnsi" w:eastAsiaTheme="majorEastAsia" w:hAnsiTheme="majorHAnsi" w:cstheme="majorBidi"/>
          <w:bCs/>
          <w:color w:val="004B8D"/>
          <w:spacing w:val="0"/>
          <w:szCs w:val="26"/>
          <w:lang w:bidi="ar-SA"/>
        </w:rPr>
        <w:br w:type="page"/>
      </w:r>
    </w:p>
    <w:p w14:paraId="639A650E" w14:textId="77777777" w:rsidR="00A87B53" w:rsidRPr="00DA1025" w:rsidRDefault="00DA1025" w:rsidP="00DA1025">
      <w:pPr>
        <w:pStyle w:val="Nadpis1"/>
        <w:numPr>
          <w:ilvl w:val="0"/>
          <w:numId w:val="0"/>
        </w:numPr>
        <w:pBdr>
          <w:top w:val="none" w:sz="0" w:space="0" w:color="auto"/>
          <w:left w:val="none" w:sz="0" w:space="0" w:color="auto"/>
        </w:pBdr>
        <w:jc w:val="left"/>
        <w:rPr>
          <w:rFonts w:asciiTheme="majorHAnsi" w:eastAsiaTheme="majorEastAsia" w:hAnsiTheme="majorHAnsi" w:cstheme="majorBidi"/>
          <w:color w:val="004B8D"/>
          <w:spacing w:val="0"/>
          <w:sz w:val="32"/>
          <w:szCs w:val="32"/>
          <w:lang w:bidi="ar-SA"/>
        </w:rPr>
      </w:pPr>
      <w:bookmarkStart w:id="20" w:name="_Toc5626440"/>
      <w:r>
        <w:rPr>
          <w:rFonts w:asciiTheme="majorHAnsi" w:eastAsiaTheme="majorEastAsia" w:hAnsiTheme="majorHAnsi" w:cstheme="majorBidi"/>
          <w:color w:val="004B8D"/>
          <w:spacing w:val="0"/>
          <w:sz w:val="32"/>
          <w:szCs w:val="32"/>
          <w:lang w:bidi="ar-SA"/>
        </w:rPr>
        <w:lastRenderedPageBreak/>
        <w:t>2.</w:t>
      </w:r>
      <w:r w:rsidR="00A87B53" w:rsidRPr="00DA1025">
        <w:rPr>
          <w:rFonts w:asciiTheme="majorHAnsi" w:eastAsiaTheme="majorEastAsia" w:hAnsiTheme="majorHAnsi" w:cstheme="majorBidi"/>
          <w:color w:val="004B8D"/>
          <w:spacing w:val="0"/>
          <w:sz w:val="32"/>
          <w:szCs w:val="32"/>
          <w:lang w:bidi="ar-SA"/>
        </w:rPr>
        <w:t xml:space="preserve"> Národní RIS3 strategie</w:t>
      </w:r>
      <w:r w:rsidR="0062568B" w:rsidRPr="00DA1025">
        <w:rPr>
          <w:rFonts w:asciiTheme="majorHAnsi" w:eastAsiaTheme="majorEastAsia" w:hAnsiTheme="majorHAnsi" w:cstheme="majorBidi"/>
          <w:color w:val="004B8D"/>
          <w:spacing w:val="0"/>
          <w:sz w:val="32"/>
          <w:szCs w:val="32"/>
          <w:lang w:bidi="ar-SA"/>
        </w:rPr>
        <w:t xml:space="preserve"> </w:t>
      </w:r>
      <w:r w:rsidR="00AD692F" w:rsidRPr="00DA1025">
        <w:rPr>
          <w:rFonts w:asciiTheme="majorHAnsi" w:eastAsiaTheme="majorEastAsia" w:hAnsiTheme="majorHAnsi" w:cstheme="majorBidi"/>
          <w:color w:val="004B8D"/>
          <w:spacing w:val="0"/>
          <w:sz w:val="32"/>
          <w:szCs w:val="32"/>
          <w:lang w:bidi="ar-SA"/>
        </w:rPr>
        <w:t>ČR</w:t>
      </w:r>
      <w:bookmarkEnd w:id="20"/>
    </w:p>
    <w:p w14:paraId="3523C232" w14:textId="77777777" w:rsidR="009002A4" w:rsidRDefault="009002A4" w:rsidP="00E34AB0">
      <w:pPr>
        <w:pStyle w:val="Nadpis2"/>
        <w:keepNext/>
        <w:keepLines/>
        <w:numPr>
          <w:ilvl w:val="0"/>
          <w:numId w:val="0"/>
        </w:numPr>
        <w:pBdr>
          <w:top w:val="none" w:sz="0" w:space="0" w:color="auto"/>
          <w:left w:val="none" w:sz="0" w:space="0" w:color="auto"/>
        </w:pBdr>
        <w:shd w:val="clear" w:color="auto" w:fill="auto"/>
        <w:spacing w:before="200" w:after="0"/>
        <w:rPr>
          <w:rFonts w:asciiTheme="majorHAnsi" w:eastAsiaTheme="majorEastAsia" w:hAnsiTheme="majorHAnsi" w:cstheme="majorBidi"/>
          <w:bCs/>
          <w:color w:val="004B8D"/>
          <w:spacing w:val="0"/>
          <w:szCs w:val="26"/>
          <w:lang w:bidi="ar-SA"/>
        </w:rPr>
      </w:pPr>
      <w:bookmarkStart w:id="21" w:name="_Toc5626441"/>
      <w:r>
        <w:rPr>
          <w:rFonts w:asciiTheme="majorHAnsi" w:eastAsiaTheme="majorEastAsia" w:hAnsiTheme="majorHAnsi" w:cstheme="majorBidi"/>
          <w:bCs/>
          <w:color w:val="004B8D"/>
          <w:spacing w:val="0"/>
          <w:szCs w:val="26"/>
          <w:lang w:bidi="ar-SA"/>
        </w:rPr>
        <w:t>2.</w:t>
      </w:r>
      <w:r w:rsidR="00E34AB0">
        <w:rPr>
          <w:rFonts w:asciiTheme="majorHAnsi" w:eastAsiaTheme="majorEastAsia" w:hAnsiTheme="majorHAnsi" w:cstheme="majorBidi"/>
          <w:bCs/>
          <w:color w:val="004B8D"/>
          <w:spacing w:val="0"/>
          <w:szCs w:val="26"/>
          <w:lang w:bidi="ar-SA"/>
        </w:rPr>
        <w:t>1 Východiska</w:t>
      </w:r>
      <w:r>
        <w:rPr>
          <w:rFonts w:asciiTheme="majorHAnsi" w:eastAsiaTheme="majorEastAsia" w:hAnsiTheme="majorHAnsi" w:cstheme="majorBidi"/>
          <w:bCs/>
          <w:color w:val="004B8D"/>
          <w:spacing w:val="0"/>
          <w:szCs w:val="26"/>
          <w:lang w:bidi="ar-SA"/>
        </w:rPr>
        <w:t xml:space="preserve"> vzniku Národní RIS3 strategie</w:t>
      </w:r>
      <w:r w:rsidR="00E34AB0">
        <w:rPr>
          <w:rFonts w:asciiTheme="majorHAnsi" w:eastAsiaTheme="majorEastAsia" w:hAnsiTheme="majorHAnsi" w:cstheme="majorBidi"/>
          <w:bCs/>
          <w:color w:val="004B8D"/>
          <w:spacing w:val="0"/>
          <w:szCs w:val="26"/>
          <w:lang w:bidi="ar-SA"/>
        </w:rPr>
        <w:t xml:space="preserve"> – účel S3 strategií v evropském kontextu</w:t>
      </w:r>
      <w:bookmarkEnd w:id="21"/>
    </w:p>
    <w:p w14:paraId="37DDD886" w14:textId="77777777" w:rsidR="00821302" w:rsidRDefault="00821302" w:rsidP="00821302">
      <w:pPr>
        <w:rPr>
          <w:rStyle w:val="tlid-translation"/>
        </w:rPr>
      </w:pPr>
      <w:r>
        <w:rPr>
          <w:rStyle w:val="tlid-translation"/>
        </w:rPr>
        <w:t xml:space="preserve">Smart Specialisation Strategy (S3 nebo RIS3) - Strategie inteligentní specializace představuje koncept identifikace </w:t>
      </w:r>
      <w:r w:rsidRPr="00A8614C">
        <w:rPr>
          <w:rStyle w:val="tlid-translation"/>
          <w:b/>
        </w:rPr>
        <w:t>omezeného počtu priorit</w:t>
      </w:r>
      <w:r>
        <w:rPr>
          <w:rStyle w:val="tlid-translation"/>
        </w:rPr>
        <w:t xml:space="preserve"> v oblasti výzkumu a inovací na národní a regionální úrovni a zacílení finančních zdrojů na tyto priority. Tento přístup byl na evropské úrovni představen v průběhu roku 2008 v reakci </w:t>
      </w:r>
      <w:r w:rsidR="00845B79">
        <w:rPr>
          <w:rStyle w:val="tlid-translation"/>
        </w:rPr>
        <w:t xml:space="preserve">na ekonomickou krizi z let 2007 – 2008, kdy bylo potřeba přijmout opatření ke znovunastartování evropského hospodářského růstu. </w:t>
      </w:r>
      <w:r>
        <w:rPr>
          <w:rStyle w:val="tlid-translation"/>
        </w:rPr>
        <w:t xml:space="preserve"> </w:t>
      </w:r>
    </w:p>
    <w:p w14:paraId="54C856C8" w14:textId="45C00635" w:rsidR="00821302" w:rsidRDefault="00821302" w:rsidP="00821302">
      <w:pPr>
        <w:rPr>
          <w:rStyle w:val="tlid-translation"/>
        </w:rPr>
      </w:pPr>
      <w:r>
        <w:rPr>
          <w:rStyle w:val="tlid-translation"/>
        </w:rPr>
        <w:t xml:space="preserve">Inteligentní </w:t>
      </w:r>
      <w:r w:rsidRPr="00F072AC">
        <w:rPr>
          <w:rStyle w:val="tlid-translation"/>
        </w:rPr>
        <w:t>specializace</w:t>
      </w:r>
      <w:r>
        <w:rPr>
          <w:rStyle w:val="tlid-translation"/>
        </w:rPr>
        <w:t xml:space="preserve"> znamená zaměřit se na oblasti a hospodářské činnosti, v nichž mají regiony nebo země </w:t>
      </w:r>
      <w:r w:rsidRPr="00A8614C">
        <w:rPr>
          <w:rStyle w:val="tlid-translation"/>
          <w:b/>
        </w:rPr>
        <w:t>konkurenční výhodu</w:t>
      </w:r>
      <w:r>
        <w:rPr>
          <w:rStyle w:val="tlid-translation"/>
        </w:rPr>
        <w:t xml:space="preserve">, nebo mají </w:t>
      </w:r>
      <w:r w:rsidRPr="00A8614C">
        <w:rPr>
          <w:rStyle w:val="tlid-translation"/>
          <w:b/>
        </w:rPr>
        <w:t>potenciál vytvářet růst</w:t>
      </w:r>
      <w:r>
        <w:rPr>
          <w:rStyle w:val="tlid-translation"/>
        </w:rPr>
        <w:t xml:space="preserve"> založený na znalostech</w:t>
      </w:r>
      <w:r>
        <w:rPr>
          <w:rStyle w:val="Znakapoznpodarou"/>
        </w:rPr>
        <w:footnoteReference w:id="8"/>
      </w:r>
      <w:r>
        <w:rPr>
          <w:rStyle w:val="tlid-translation"/>
        </w:rPr>
        <w:t xml:space="preserve">. Myšlenka inteligentní specializace je založena na tom, že regiony nemohou reálně obsáhnout všechny aspekty/výzvy v oblasti vědeckých technologií a inovací. Je proto nanejvýš účelné nastavit promyšlený </w:t>
      </w:r>
      <w:r w:rsidRPr="00A8614C">
        <w:rPr>
          <w:rStyle w:val="tlid-translation"/>
          <w:b/>
        </w:rPr>
        <w:t>proces stanovení priorit</w:t>
      </w:r>
      <w:r>
        <w:rPr>
          <w:rStyle w:val="tlid-translation"/>
        </w:rPr>
        <w:t xml:space="preserve"> (důsledná prioritizace) a </w:t>
      </w:r>
      <w:r w:rsidRPr="00A8614C">
        <w:rPr>
          <w:rStyle w:val="tlid-translation"/>
          <w:b/>
        </w:rPr>
        <w:t>soustředit zdroje</w:t>
      </w:r>
      <w:r>
        <w:rPr>
          <w:rStyle w:val="tlid-translation"/>
        </w:rPr>
        <w:t xml:space="preserve"> v</w:t>
      </w:r>
      <w:r w:rsidR="00F072F3">
        <w:rPr>
          <w:rStyle w:val="tlid-translation"/>
        </w:rPr>
        <w:t> </w:t>
      </w:r>
      <w:r>
        <w:rPr>
          <w:rStyle w:val="tlid-translation"/>
        </w:rPr>
        <w:t xml:space="preserve">určitých oblastech odborných znalostí založených na potřebách a dostupných zdrojích daného regionu.  RIS3 strategie by měly soustředit finanční prostředky na </w:t>
      </w:r>
      <w:r w:rsidRPr="00A8614C">
        <w:rPr>
          <w:rStyle w:val="tlid-translation"/>
          <w:b/>
        </w:rPr>
        <w:t>malý počet priorit</w:t>
      </w:r>
      <w:r>
        <w:rPr>
          <w:rStyle w:val="tlid-translation"/>
        </w:rPr>
        <w:t xml:space="preserve">, které jsou spojeny s cíli inteligentního, udržitelného a inkluzivního růstu, jak jsou definovány v rámci strategie Evropa 2020 a stěžejní iniciativy Unie inovací. Proces stanovení priorit by měl zabránit </w:t>
      </w:r>
      <w:r w:rsidRPr="00A8614C">
        <w:rPr>
          <w:rStyle w:val="tlid-translation"/>
          <w:b/>
        </w:rPr>
        <w:t>fragmentaci, duplikaci a napodobování</w:t>
      </w:r>
      <w:r>
        <w:rPr>
          <w:rStyle w:val="Znakapoznpodarou"/>
        </w:rPr>
        <w:footnoteReference w:id="9"/>
      </w:r>
      <w:r>
        <w:rPr>
          <w:rStyle w:val="tlid-translation"/>
        </w:rPr>
        <w:t>.</w:t>
      </w:r>
    </w:p>
    <w:p w14:paraId="24B62926" w14:textId="77777777" w:rsidR="00821302" w:rsidRDefault="00821302" w:rsidP="00821302">
      <w:pPr>
        <w:rPr>
          <w:rStyle w:val="tlid-translation"/>
        </w:rPr>
      </w:pPr>
      <w:r>
        <w:rPr>
          <w:rStyle w:val="tlid-translation"/>
        </w:rPr>
        <w:t xml:space="preserve">Inteligentní specializace vychází z toho, že je možné efektivně </w:t>
      </w:r>
      <w:r w:rsidRPr="00A8614C">
        <w:rPr>
          <w:rStyle w:val="tlid-translation"/>
          <w:b/>
        </w:rPr>
        <w:t>sladit znalostní domény</w:t>
      </w:r>
      <w:r>
        <w:rPr>
          <w:rStyle w:val="tlid-translation"/>
        </w:rPr>
        <w:t xml:space="preserve"> (tzv. KETs) </w:t>
      </w:r>
      <w:r w:rsidRPr="00A8614C">
        <w:rPr>
          <w:rStyle w:val="tlid-translation"/>
          <w:b/>
        </w:rPr>
        <w:t>s tržním potenciálem</w:t>
      </w:r>
      <w:r>
        <w:rPr>
          <w:rStyle w:val="tlid-translation"/>
        </w:rPr>
        <w:t xml:space="preserve">, zejména s ohledem na identifikovanou </w:t>
      </w:r>
      <w:r w:rsidRPr="00A8614C">
        <w:rPr>
          <w:rStyle w:val="tlid-translation"/>
          <w:b/>
        </w:rPr>
        <w:t>mezeru na trhu</w:t>
      </w:r>
      <w:r>
        <w:rPr>
          <w:rStyle w:val="tlid-translation"/>
        </w:rPr>
        <w:t xml:space="preserve">. Znalost sama o sobě totiž nutně nevytváří ekonomickou hodnotu, ta je promítnuta až do inovace, resp. změny, která přináší hodnotu zákazníkům, za kterou jsou ochotni zaplatit.  </w:t>
      </w:r>
    </w:p>
    <w:p w14:paraId="7B555F42" w14:textId="77777777" w:rsidR="00AC305B" w:rsidRDefault="00AC305B" w:rsidP="00821302">
      <w:pPr>
        <w:rPr>
          <w:rStyle w:val="tlid-translation"/>
        </w:rPr>
      </w:pPr>
      <w:r>
        <w:rPr>
          <w:rStyle w:val="tlid-translation"/>
        </w:rPr>
        <w:t>Pro členské země, které využívají v programové</w:t>
      </w:r>
      <w:r w:rsidR="002828E5">
        <w:rPr>
          <w:rStyle w:val="tlid-translation"/>
        </w:rPr>
        <w:t>m</w:t>
      </w:r>
      <w:r>
        <w:rPr>
          <w:rStyle w:val="tlid-translation"/>
        </w:rPr>
        <w:t xml:space="preserve"> období 2014 – 2020 finanční pros</w:t>
      </w:r>
      <w:r w:rsidR="002828E5">
        <w:rPr>
          <w:rStyle w:val="tlid-translation"/>
        </w:rPr>
        <w:t>tředky z ESIF v oblasti podpory výzkumu, vývoje a inovací</w:t>
      </w:r>
      <w:r w:rsidR="002828E5">
        <w:rPr>
          <w:rStyle w:val="Znakapoznpodarou"/>
        </w:rPr>
        <w:footnoteReference w:id="10"/>
      </w:r>
      <w:r w:rsidR="002828E5">
        <w:rPr>
          <w:rStyle w:val="tlid-translation"/>
        </w:rPr>
        <w:t>, představuje e</w:t>
      </w:r>
      <w:r>
        <w:rPr>
          <w:rStyle w:val="tlid-translation"/>
        </w:rPr>
        <w:t>xistence RIS3 strategi</w:t>
      </w:r>
      <w:r w:rsidR="002828E5">
        <w:rPr>
          <w:rStyle w:val="tlid-translation"/>
        </w:rPr>
        <w:t>e</w:t>
      </w:r>
      <w:r>
        <w:rPr>
          <w:rStyle w:val="tlid-translation"/>
        </w:rPr>
        <w:t xml:space="preserve"> </w:t>
      </w:r>
      <w:r w:rsidR="002828E5">
        <w:rPr>
          <w:rStyle w:val="tlid-translation"/>
        </w:rPr>
        <w:t>předběžnou podmínku</w:t>
      </w:r>
      <w:r w:rsidR="002828E5">
        <w:rPr>
          <w:rStyle w:val="Znakapoznpodarou"/>
        </w:rPr>
        <w:footnoteReference w:id="11"/>
      </w:r>
      <w:r w:rsidR="002828E5">
        <w:rPr>
          <w:rStyle w:val="tlid-translation"/>
        </w:rPr>
        <w:t xml:space="preserve">. </w:t>
      </w:r>
    </w:p>
    <w:p w14:paraId="1534599F" w14:textId="77777777" w:rsidR="009002A4" w:rsidRDefault="009002A4" w:rsidP="00DA1025">
      <w:pPr>
        <w:pStyle w:val="Nadpis2"/>
        <w:keepNext/>
        <w:keepLines/>
        <w:numPr>
          <w:ilvl w:val="0"/>
          <w:numId w:val="0"/>
        </w:numPr>
        <w:pBdr>
          <w:top w:val="none" w:sz="0" w:space="0" w:color="auto"/>
          <w:left w:val="none" w:sz="0" w:space="0" w:color="auto"/>
        </w:pBdr>
        <w:shd w:val="clear" w:color="auto" w:fill="auto"/>
        <w:spacing w:before="200" w:after="0"/>
        <w:jc w:val="left"/>
        <w:rPr>
          <w:rFonts w:asciiTheme="majorHAnsi" w:eastAsiaTheme="majorEastAsia" w:hAnsiTheme="majorHAnsi" w:cstheme="majorBidi"/>
          <w:bCs/>
          <w:color w:val="004B8D"/>
          <w:spacing w:val="0"/>
          <w:szCs w:val="26"/>
          <w:lang w:bidi="ar-SA"/>
        </w:rPr>
      </w:pPr>
    </w:p>
    <w:p w14:paraId="145ED8F2" w14:textId="77777777" w:rsidR="00C17EF2" w:rsidRDefault="00C17EF2" w:rsidP="00C17EF2">
      <w:pPr>
        <w:rPr>
          <w:lang w:bidi="ar-SA"/>
        </w:rPr>
      </w:pPr>
    </w:p>
    <w:p w14:paraId="15B56786" w14:textId="77777777" w:rsidR="00DA1025" w:rsidRDefault="00DA1025" w:rsidP="00DA1025">
      <w:pPr>
        <w:pStyle w:val="Nadpis2"/>
        <w:keepNext/>
        <w:keepLines/>
        <w:numPr>
          <w:ilvl w:val="0"/>
          <w:numId w:val="0"/>
        </w:numPr>
        <w:pBdr>
          <w:top w:val="none" w:sz="0" w:space="0" w:color="auto"/>
          <w:left w:val="none" w:sz="0" w:space="0" w:color="auto"/>
        </w:pBdr>
        <w:shd w:val="clear" w:color="auto" w:fill="auto"/>
        <w:spacing w:before="200" w:after="0"/>
        <w:jc w:val="left"/>
        <w:rPr>
          <w:rFonts w:asciiTheme="majorHAnsi" w:eastAsiaTheme="majorEastAsia" w:hAnsiTheme="majorHAnsi" w:cstheme="majorBidi"/>
          <w:bCs/>
          <w:color w:val="004B8D"/>
          <w:spacing w:val="0"/>
          <w:szCs w:val="26"/>
          <w:lang w:bidi="ar-SA"/>
        </w:rPr>
      </w:pPr>
      <w:bookmarkStart w:id="22" w:name="_Toc5626442"/>
      <w:r>
        <w:rPr>
          <w:rFonts w:asciiTheme="majorHAnsi" w:eastAsiaTheme="majorEastAsia" w:hAnsiTheme="majorHAnsi" w:cstheme="majorBidi"/>
          <w:bCs/>
          <w:color w:val="004B8D"/>
          <w:spacing w:val="0"/>
          <w:szCs w:val="26"/>
          <w:lang w:bidi="ar-SA"/>
        </w:rPr>
        <w:lastRenderedPageBreak/>
        <w:t>2.</w:t>
      </w:r>
      <w:r w:rsidR="00E34AB0">
        <w:rPr>
          <w:rFonts w:asciiTheme="majorHAnsi" w:eastAsiaTheme="majorEastAsia" w:hAnsiTheme="majorHAnsi" w:cstheme="majorBidi"/>
          <w:bCs/>
          <w:color w:val="004B8D"/>
          <w:spacing w:val="0"/>
          <w:szCs w:val="26"/>
          <w:lang w:bidi="ar-SA"/>
        </w:rPr>
        <w:t>2</w:t>
      </w:r>
      <w:r>
        <w:rPr>
          <w:rFonts w:asciiTheme="majorHAnsi" w:eastAsiaTheme="majorEastAsia" w:hAnsiTheme="majorHAnsi" w:cstheme="majorBidi"/>
          <w:bCs/>
          <w:color w:val="004B8D"/>
          <w:spacing w:val="0"/>
          <w:szCs w:val="26"/>
          <w:lang w:bidi="ar-SA"/>
        </w:rPr>
        <w:t xml:space="preserve"> Kontext vzniku Národní RIS3 strategie</w:t>
      </w:r>
      <w:bookmarkEnd w:id="22"/>
    </w:p>
    <w:p w14:paraId="6B514E94" w14:textId="77777777" w:rsidR="00DA1025" w:rsidRDefault="00F379AC" w:rsidP="00BA59FB">
      <w:pPr>
        <w:rPr>
          <w:lang w:bidi="ar-SA"/>
        </w:rPr>
      </w:pPr>
      <w:r>
        <w:rPr>
          <w:lang w:bidi="ar-SA"/>
        </w:rPr>
        <w:t xml:space="preserve">Příprava Národní RIS3 strategie </w:t>
      </w:r>
      <w:r w:rsidR="009B5EC9">
        <w:rPr>
          <w:lang w:bidi="ar-SA"/>
        </w:rPr>
        <w:t xml:space="preserve">ČR </w:t>
      </w:r>
      <w:r>
        <w:rPr>
          <w:lang w:bidi="ar-SA"/>
        </w:rPr>
        <w:t>a jej</w:t>
      </w:r>
      <w:r w:rsidR="009B5EC9">
        <w:rPr>
          <w:lang w:bidi="ar-SA"/>
        </w:rPr>
        <w:t>i</w:t>
      </w:r>
      <w:r>
        <w:rPr>
          <w:lang w:bidi="ar-SA"/>
        </w:rPr>
        <w:t>ch krajských příloh započala v roce 2013. První verze strategie byla schválena vládou ČR dne 8. 12. 2014. Během roku 2015 a poloviny roku 2016 byly zpracovány podklady pro její zpřesnění a aktualizaci</w:t>
      </w:r>
      <w:r w:rsidR="00161419">
        <w:rPr>
          <w:lang w:bidi="ar-SA"/>
        </w:rPr>
        <w:t xml:space="preserve"> a aktualizovaná Národní RIS3 strategie byla schválena vládou ČR dne 11. 7. 2016 a </w:t>
      </w:r>
      <w:r w:rsidR="00FC6365">
        <w:rPr>
          <w:lang w:bidi="ar-SA"/>
        </w:rPr>
        <w:t xml:space="preserve">poté </w:t>
      </w:r>
      <w:r w:rsidR="00161419">
        <w:rPr>
          <w:lang w:bidi="ar-SA"/>
        </w:rPr>
        <w:t xml:space="preserve">v září 2016 Evropskou komisí. </w:t>
      </w:r>
      <w:r>
        <w:rPr>
          <w:lang w:bidi="ar-SA"/>
        </w:rPr>
        <w:t xml:space="preserve">  </w:t>
      </w:r>
    </w:p>
    <w:p w14:paraId="294067DF" w14:textId="77777777" w:rsidR="007D3CC5" w:rsidRDefault="00774F7F" w:rsidP="00BA59FB">
      <w:pPr>
        <w:rPr>
          <w:lang w:bidi="ar-SA"/>
        </w:rPr>
      </w:pPr>
      <w:r>
        <w:rPr>
          <w:lang w:bidi="ar-SA"/>
        </w:rPr>
        <w:t>Jedním z klíčových impulsů pro přípravu Národní RIS3 strategie a jej</w:t>
      </w:r>
      <w:r w:rsidR="009B5EC9">
        <w:rPr>
          <w:lang w:bidi="ar-SA"/>
        </w:rPr>
        <w:t>í</w:t>
      </w:r>
      <w:r>
        <w:rPr>
          <w:lang w:bidi="ar-SA"/>
        </w:rPr>
        <w:t xml:space="preserve"> následnou implementaci byla skutečnost, že její existence je jednou z tzv. ex-ante kondicionalit (nutných předběžných podmínek) pro čerpání finančních prostředků z Evropských strukturálních a investičních fondů EU na oblast výzkumu, vývoje a inovací v programovém období 2014-2020. </w:t>
      </w:r>
      <w:r w:rsidR="00560B86">
        <w:rPr>
          <w:lang w:bidi="ar-SA"/>
        </w:rPr>
        <w:t xml:space="preserve">Národní RIS3 strategie </w:t>
      </w:r>
      <w:r w:rsidR="007D3CC5">
        <w:rPr>
          <w:lang w:bidi="ar-SA"/>
        </w:rPr>
        <w:t xml:space="preserve">však představuje koordinační mechanizmus všech intervencí v dané oblasti, bez ohledu na to, z jakého zdroje jsou financovány. </w:t>
      </w:r>
    </w:p>
    <w:p w14:paraId="26DDA344" w14:textId="77777777" w:rsidR="00AD692F" w:rsidRDefault="007D3CC5" w:rsidP="00BA59FB">
      <w:pPr>
        <w:rPr>
          <w:lang w:bidi="ar-SA"/>
        </w:rPr>
      </w:pPr>
      <w:r>
        <w:rPr>
          <w:lang w:bidi="ar-SA"/>
        </w:rPr>
        <w:t>Národní RIS3 strategie předsta</w:t>
      </w:r>
      <w:r w:rsidR="00560B86">
        <w:rPr>
          <w:lang w:bidi="ar-SA"/>
        </w:rPr>
        <w:t xml:space="preserve">vuje předběžnou podmínku pro tyto operační programy: </w:t>
      </w:r>
    </w:p>
    <w:p w14:paraId="1FCD2599" w14:textId="77777777" w:rsidR="00560B86" w:rsidRDefault="00560B86" w:rsidP="00D10F0D">
      <w:pPr>
        <w:pStyle w:val="Odstavecseseznamem"/>
        <w:numPr>
          <w:ilvl w:val="0"/>
          <w:numId w:val="23"/>
        </w:numPr>
        <w:rPr>
          <w:lang w:bidi="ar-SA"/>
        </w:rPr>
      </w:pPr>
      <w:r>
        <w:rPr>
          <w:lang w:bidi="ar-SA"/>
        </w:rPr>
        <w:t>Operační program Výzkum, vývoj a vzdělávání</w:t>
      </w:r>
      <w:r w:rsidR="0074280E">
        <w:rPr>
          <w:rStyle w:val="Znakapoznpodarou"/>
          <w:lang w:bidi="ar-SA"/>
        </w:rPr>
        <w:footnoteReference w:id="12"/>
      </w:r>
      <w:r>
        <w:rPr>
          <w:lang w:bidi="ar-SA"/>
        </w:rPr>
        <w:t xml:space="preserve"> </w:t>
      </w:r>
      <w:r w:rsidR="007D3CC5">
        <w:rPr>
          <w:lang w:bidi="ar-SA"/>
        </w:rPr>
        <w:t>(dále jen OP VVV)</w:t>
      </w:r>
    </w:p>
    <w:p w14:paraId="1C281369" w14:textId="77777777" w:rsidR="007D3CC5" w:rsidRDefault="007D3CC5" w:rsidP="00D10F0D">
      <w:pPr>
        <w:pStyle w:val="Odstavecseseznamem"/>
        <w:numPr>
          <w:ilvl w:val="0"/>
          <w:numId w:val="23"/>
        </w:numPr>
        <w:rPr>
          <w:lang w:bidi="ar-SA"/>
        </w:rPr>
      </w:pPr>
      <w:r>
        <w:rPr>
          <w:lang w:bidi="ar-SA"/>
        </w:rPr>
        <w:t>Operační program Podnikání a inovace pro konkurenceschopnost</w:t>
      </w:r>
      <w:r w:rsidR="0074280E">
        <w:rPr>
          <w:rStyle w:val="Znakapoznpodarou"/>
          <w:lang w:bidi="ar-SA"/>
        </w:rPr>
        <w:footnoteReference w:id="13"/>
      </w:r>
      <w:r>
        <w:rPr>
          <w:lang w:bidi="ar-SA"/>
        </w:rPr>
        <w:t xml:space="preserve"> (dále jen OP PIK)</w:t>
      </w:r>
    </w:p>
    <w:p w14:paraId="487D58CB" w14:textId="77777777" w:rsidR="007D3CC5" w:rsidRDefault="007D3CC5" w:rsidP="00D10F0D">
      <w:pPr>
        <w:pStyle w:val="Odstavecseseznamem"/>
        <w:numPr>
          <w:ilvl w:val="0"/>
          <w:numId w:val="23"/>
        </w:numPr>
        <w:rPr>
          <w:lang w:bidi="ar-SA"/>
        </w:rPr>
      </w:pPr>
      <w:r>
        <w:rPr>
          <w:lang w:bidi="ar-SA"/>
        </w:rPr>
        <w:t>Operační program Praha – pól růstu</w:t>
      </w:r>
      <w:r w:rsidR="005C6D29">
        <w:rPr>
          <w:rStyle w:val="Znakapoznpodarou"/>
          <w:lang w:bidi="ar-SA"/>
        </w:rPr>
        <w:footnoteReference w:id="14"/>
      </w:r>
      <w:r>
        <w:rPr>
          <w:lang w:bidi="ar-SA"/>
        </w:rPr>
        <w:t xml:space="preserve"> (dále jen OP PPR)</w:t>
      </w:r>
    </w:p>
    <w:p w14:paraId="0BC43FB0" w14:textId="77777777" w:rsidR="007D3CC5" w:rsidRDefault="0074280E" w:rsidP="007D3CC5">
      <w:pPr>
        <w:rPr>
          <w:lang w:bidi="ar-SA"/>
        </w:rPr>
      </w:pPr>
      <w:r>
        <w:rPr>
          <w:lang w:bidi="ar-SA"/>
        </w:rPr>
        <w:t xml:space="preserve">Financování Národní RIS3 strategie vychází jednak z návrhu alokací těchto operačních </w:t>
      </w:r>
      <w:r w:rsidR="008719CD">
        <w:rPr>
          <w:lang w:bidi="ar-SA"/>
        </w:rPr>
        <w:t>programů vázaných na ex-ante kondicionalitu, tak z Operačního programu Zaměstnanost a Integrovaného operačního programu, které</w:t>
      </w:r>
      <w:r w:rsidR="00724428">
        <w:rPr>
          <w:lang w:bidi="ar-SA"/>
        </w:rPr>
        <w:t>,</w:t>
      </w:r>
      <w:r w:rsidR="008719CD">
        <w:rPr>
          <w:lang w:bidi="ar-SA"/>
        </w:rPr>
        <w:t xml:space="preserve"> ačkoliv </w:t>
      </w:r>
      <w:r w:rsidR="00724428">
        <w:rPr>
          <w:lang w:bidi="ar-SA"/>
        </w:rPr>
        <w:t xml:space="preserve">pro ně </w:t>
      </w:r>
      <w:r w:rsidR="008719CD">
        <w:rPr>
          <w:lang w:bidi="ar-SA"/>
        </w:rPr>
        <w:t>není Národní RIS3 strategie předběžnou podmínkou, někter</w:t>
      </w:r>
      <w:r w:rsidR="00724428">
        <w:rPr>
          <w:lang w:bidi="ar-SA"/>
        </w:rPr>
        <w:t xml:space="preserve">ými svými </w:t>
      </w:r>
      <w:r w:rsidR="008719CD">
        <w:rPr>
          <w:lang w:bidi="ar-SA"/>
        </w:rPr>
        <w:t>intervence</w:t>
      </w:r>
      <w:r w:rsidR="00724428">
        <w:rPr>
          <w:lang w:bidi="ar-SA"/>
        </w:rPr>
        <w:t>mi</w:t>
      </w:r>
      <w:r w:rsidR="008719CD">
        <w:rPr>
          <w:lang w:bidi="ar-SA"/>
        </w:rPr>
        <w:t xml:space="preserve"> přispívají k naplňování </w:t>
      </w:r>
      <w:r w:rsidR="00724428">
        <w:rPr>
          <w:lang w:bidi="ar-SA"/>
        </w:rPr>
        <w:t>RIS3</w:t>
      </w:r>
      <w:r w:rsidR="008719CD">
        <w:rPr>
          <w:lang w:bidi="ar-SA"/>
        </w:rPr>
        <w:t xml:space="preserve"> cílů. </w:t>
      </w:r>
    </w:p>
    <w:p w14:paraId="02CBF18C" w14:textId="77777777" w:rsidR="008719CD" w:rsidRDefault="008719CD" w:rsidP="007D3CC5">
      <w:pPr>
        <w:rPr>
          <w:lang w:bidi="ar-SA"/>
        </w:rPr>
      </w:pPr>
      <w:r>
        <w:rPr>
          <w:lang w:bidi="ar-SA"/>
        </w:rPr>
        <w:t>Kromě programů využívajících evropských zdrojů, jsou na Národní RIS3 strategii navázány další národní programy podpory realizované Technologickou agenturou ČR (dále jen TA ČR) a MPO. Jedná se o tyto programy</w:t>
      </w:r>
      <w:r>
        <w:rPr>
          <w:rStyle w:val="Znakapoznpodarou"/>
          <w:lang w:bidi="ar-SA"/>
        </w:rPr>
        <w:footnoteReference w:id="15"/>
      </w:r>
      <w:r>
        <w:rPr>
          <w:lang w:bidi="ar-SA"/>
        </w:rPr>
        <w:t xml:space="preserve">: </w:t>
      </w:r>
    </w:p>
    <w:p w14:paraId="64FE3A95" w14:textId="77777777" w:rsidR="008719CD" w:rsidRDefault="008719CD" w:rsidP="00D10F0D">
      <w:pPr>
        <w:pStyle w:val="Odstavecseseznamem"/>
        <w:numPr>
          <w:ilvl w:val="0"/>
          <w:numId w:val="24"/>
        </w:numPr>
        <w:rPr>
          <w:lang w:bidi="ar-SA"/>
        </w:rPr>
      </w:pPr>
      <w:r>
        <w:rPr>
          <w:lang w:bidi="ar-SA"/>
        </w:rPr>
        <w:t>Centra kompetence (TA ČR)</w:t>
      </w:r>
    </w:p>
    <w:p w14:paraId="081A6537" w14:textId="77777777" w:rsidR="008719CD" w:rsidRDefault="008719CD" w:rsidP="00D10F0D">
      <w:pPr>
        <w:pStyle w:val="Odstavecseseznamem"/>
        <w:numPr>
          <w:ilvl w:val="0"/>
          <w:numId w:val="24"/>
        </w:numPr>
        <w:rPr>
          <w:lang w:bidi="ar-SA"/>
        </w:rPr>
      </w:pPr>
      <w:r>
        <w:rPr>
          <w:lang w:bidi="ar-SA"/>
        </w:rPr>
        <w:t>GAMA (TA ČR)</w:t>
      </w:r>
    </w:p>
    <w:p w14:paraId="77A9957E" w14:textId="77777777" w:rsidR="008719CD" w:rsidRDefault="008719CD" w:rsidP="00D10F0D">
      <w:pPr>
        <w:pStyle w:val="Odstavecseseznamem"/>
        <w:numPr>
          <w:ilvl w:val="0"/>
          <w:numId w:val="24"/>
        </w:numPr>
        <w:rPr>
          <w:lang w:bidi="ar-SA"/>
        </w:rPr>
      </w:pPr>
      <w:r>
        <w:rPr>
          <w:lang w:bidi="ar-SA"/>
        </w:rPr>
        <w:t>Epsilon (TA ČR)</w:t>
      </w:r>
    </w:p>
    <w:p w14:paraId="3FD8EA8D" w14:textId="77777777" w:rsidR="008719CD" w:rsidRDefault="008719CD" w:rsidP="00D10F0D">
      <w:pPr>
        <w:pStyle w:val="Odstavecseseznamem"/>
        <w:numPr>
          <w:ilvl w:val="0"/>
          <w:numId w:val="24"/>
        </w:numPr>
        <w:rPr>
          <w:lang w:bidi="ar-SA"/>
        </w:rPr>
      </w:pPr>
      <w:r>
        <w:rPr>
          <w:lang w:bidi="ar-SA"/>
        </w:rPr>
        <w:t>TRIO (MPO)</w:t>
      </w:r>
    </w:p>
    <w:p w14:paraId="7FAAECB9" w14:textId="77777777" w:rsidR="008719CD" w:rsidRDefault="00B27807" w:rsidP="007D3CC5">
      <w:pPr>
        <w:rPr>
          <w:lang w:bidi="ar-SA"/>
        </w:rPr>
      </w:pPr>
      <w:r>
        <w:rPr>
          <w:lang w:bidi="ar-SA"/>
        </w:rPr>
        <w:t xml:space="preserve">Celková </w:t>
      </w:r>
      <w:r w:rsidR="003345E5">
        <w:rPr>
          <w:lang w:bidi="ar-SA"/>
        </w:rPr>
        <w:t xml:space="preserve">předpokládaná </w:t>
      </w:r>
      <w:r>
        <w:rPr>
          <w:lang w:bidi="ar-SA"/>
        </w:rPr>
        <w:t xml:space="preserve">alokace </w:t>
      </w:r>
      <w:r w:rsidR="003345E5">
        <w:rPr>
          <w:lang w:bidi="ar-SA"/>
        </w:rPr>
        <w:t xml:space="preserve">na realizaci Národní RIS3 strategie </w:t>
      </w:r>
      <w:r w:rsidR="00235522">
        <w:rPr>
          <w:lang w:bidi="ar-SA"/>
        </w:rPr>
        <w:t xml:space="preserve">v období 2014 – 2020 </w:t>
      </w:r>
      <w:r w:rsidR="003345E5">
        <w:rPr>
          <w:lang w:bidi="ar-SA"/>
        </w:rPr>
        <w:t xml:space="preserve">je ve výši 212,7 mld. Kč (blíže kap. </w:t>
      </w:r>
      <w:r w:rsidR="000C22EF">
        <w:rPr>
          <w:lang w:bidi="ar-SA"/>
        </w:rPr>
        <w:t>4</w:t>
      </w:r>
      <w:r w:rsidR="003345E5">
        <w:rPr>
          <w:lang w:bidi="ar-SA"/>
        </w:rPr>
        <w:t xml:space="preserve">). </w:t>
      </w:r>
    </w:p>
    <w:p w14:paraId="5B487CAD" w14:textId="77777777" w:rsidR="00774F7F" w:rsidRDefault="0017187B" w:rsidP="00BA59FB">
      <w:pPr>
        <w:rPr>
          <w:szCs w:val="22"/>
        </w:rPr>
      </w:pPr>
      <w:r>
        <w:rPr>
          <w:lang w:bidi="ar-SA"/>
        </w:rPr>
        <w:t xml:space="preserve">Klíčovým principem realizace Národní RIS3 strategie je tzv. podnikatelské objevování nových příležitosti („entrepreneurial dicovery proces“, dále jen EDP). Tento koncept je založen na </w:t>
      </w:r>
      <w:r>
        <w:rPr>
          <w:lang w:bidi="ar-SA"/>
        </w:rPr>
        <w:lastRenderedPageBreak/>
        <w:t>p</w:t>
      </w:r>
      <w:r w:rsidRPr="0017187B">
        <w:rPr>
          <w:szCs w:val="22"/>
        </w:rPr>
        <w:t xml:space="preserve">rofilování oblastí specializace a nových trendů Národní RIS3 strategie na základě řízené odborné diskuse v rámci poradních orgánů (tzv. </w:t>
      </w:r>
      <w:r w:rsidRPr="00235522">
        <w:rPr>
          <w:szCs w:val="22"/>
        </w:rPr>
        <w:t>Národních inovačních platforem</w:t>
      </w:r>
      <w:r w:rsidR="00235522">
        <w:rPr>
          <w:szCs w:val="22"/>
        </w:rPr>
        <w:t>/Krajských inovačních platforem</w:t>
      </w:r>
      <w:r w:rsidRPr="0017187B">
        <w:rPr>
          <w:szCs w:val="22"/>
        </w:rPr>
        <w:t>) za rovnocenné spoluúčasti zástupců podnikatelské i akademické (vč. výzkumné) sféry a veřejné správy (popř. také občanského sektoru)</w:t>
      </w:r>
      <w:r w:rsidR="00235522">
        <w:rPr>
          <w:szCs w:val="22"/>
        </w:rPr>
        <w:t xml:space="preserve"> – tzv. triple/quadruple helix</w:t>
      </w:r>
      <w:r w:rsidR="00235522">
        <w:rPr>
          <w:rStyle w:val="Znakapoznpodarou"/>
          <w:szCs w:val="22"/>
        </w:rPr>
        <w:footnoteReference w:id="16"/>
      </w:r>
      <w:r w:rsidRPr="0017187B">
        <w:rPr>
          <w:szCs w:val="22"/>
        </w:rPr>
        <w:t>.</w:t>
      </w:r>
      <w:r w:rsidR="00286337">
        <w:rPr>
          <w:szCs w:val="22"/>
        </w:rPr>
        <w:t xml:space="preserve"> Institucionální zajištění implementace Národní RIS3 strategie, včetně EDP procesu je předmětem analýz v kapitole </w:t>
      </w:r>
      <w:r w:rsidR="000C22EF">
        <w:rPr>
          <w:szCs w:val="22"/>
        </w:rPr>
        <w:t>6</w:t>
      </w:r>
      <w:r w:rsidR="00286337">
        <w:rPr>
          <w:szCs w:val="22"/>
        </w:rPr>
        <w:t xml:space="preserve">. </w:t>
      </w:r>
    </w:p>
    <w:p w14:paraId="06E3E247" w14:textId="77777777" w:rsidR="00286337" w:rsidRPr="0017187B" w:rsidRDefault="00217DDB" w:rsidP="00BA59FB">
      <w:pPr>
        <w:rPr>
          <w:szCs w:val="22"/>
          <w:lang w:bidi="ar-SA"/>
        </w:rPr>
      </w:pPr>
      <w:r>
        <w:rPr>
          <w:szCs w:val="22"/>
        </w:rPr>
        <w:t xml:space="preserve">Regionální dimenze Národní RIS3 strategie je </w:t>
      </w:r>
      <w:r w:rsidR="0045004F">
        <w:rPr>
          <w:szCs w:val="22"/>
        </w:rPr>
        <w:t xml:space="preserve">zajišťována 14 krajskými přílohami, které zpřesňují </w:t>
      </w:r>
      <w:r w:rsidR="00F70917">
        <w:rPr>
          <w:szCs w:val="22"/>
        </w:rPr>
        <w:t xml:space="preserve">národní priority v návaznosti na specifika výzkumného a inovačního potenciálu daného kraje. Krajské přílohy Národní RIS3 strategie spadají do gesce krajské samosprávy a byly schváleny krajskými zastupitelstvy již v roce 2014. Struktura pro řízení a implementaci krajských RIS3 strategií probíhá dle jednotného základního schématu, přičemž </w:t>
      </w:r>
      <w:r w:rsidR="00D97530">
        <w:rPr>
          <w:szCs w:val="22"/>
        </w:rPr>
        <w:t xml:space="preserve">jednotlivé kraje uplatňují některá svá specifika v celkovém nastavení. Analýza krajských přístupů k plnění Národní RIS3 strategie je obsažena v kapitole </w:t>
      </w:r>
      <w:r w:rsidR="000C22EF">
        <w:rPr>
          <w:szCs w:val="22"/>
        </w:rPr>
        <w:t>5</w:t>
      </w:r>
      <w:r w:rsidR="00D97530">
        <w:rPr>
          <w:szCs w:val="22"/>
        </w:rPr>
        <w:t xml:space="preserve">.  </w:t>
      </w:r>
    </w:p>
    <w:p w14:paraId="6F6C60B5" w14:textId="77777777" w:rsidR="00CD708F" w:rsidRDefault="00CD708F" w:rsidP="00CD708F">
      <w:pPr>
        <w:pStyle w:val="Nadpis2"/>
        <w:keepNext/>
        <w:keepLines/>
        <w:numPr>
          <w:ilvl w:val="0"/>
          <w:numId w:val="0"/>
        </w:numPr>
        <w:pBdr>
          <w:top w:val="none" w:sz="0" w:space="0" w:color="auto"/>
          <w:left w:val="none" w:sz="0" w:space="0" w:color="auto"/>
        </w:pBdr>
        <w:shd w:val="clear" w:color="auto" w:fill="auto"/>
        <w:spacing w:before="200" w:after="0"/>
        <w:jc w:val="left"/>
        <w:rPr>
          <w:rFonts w:asciiTheme="majorHAnsi" w:eastAsiaTheme="majorEastAsia" w:hAnsiTheme="majorHAnsi" w:cstheme="majorBidi"/>
          <w:bCs/>
          <w:color w:val="004B8D"/>
          <w:spacing w:val="0"/>
          <w:szCs w:val="26"/>
          <w:lang w:bidi="ar-SA"/>
        </w:rPr>
      </w:pPr>
    </w:p>
    <w:p w14:paraId="2BC6F252" w14:textId="77777777" w:rsidR="00CD708F" w:rsidRDefault="00566BBB" w:rsidP="00CD708F">
      <w:pPr>
        <w:pStyle w:val="Nadpis2"/>
        <w:keepNext/>
        <w:keepLines/>
        <w:numPr>
          <w:ilvl w:val="0"/>
          <w:numId w:val="0"/>
        </w:numPr>
        <w:pBdr>
          <w:top w:val="none" w:sz="0" w:space="0" w:color="auto"/>
          <w:left w:val="none" w:sz="0" w:space="0" w:color="auto"/>
        </w:pBdr>
        <w:shd w:val="clear" w:color="auto" w:fill="auto"/>
        <w:spacing w:before="200" w:after="0"/>
        <w:jc w:val="left"/>
        <w:rPr>
          <w:rFonts w:asciiTheme="majorHAnsi" w:eastAsiaTheme="majorEastAsia" w:hAnsiTheme="majorHAnsi" w:cstheme="majorBidi"/>
          <w:bCs/>
          <w:color w:val="004B8D"/>
          <w:spacing w:val="0"/>
          <w:szCs w:val="26"/>
          <w:lang w:bidi="ar-SA"/>
        </w:rPr>
      </w:pPr>
      <w:bookmarkStart w:id="23" w:name="_Toc5626443"/>
      <w:r>
        <w:rPr>
          <w:rFonts w:asciiTheme="majorHAnsi" w:eastAsiaTheme="majorEastAsia" w:hAnsiTheme="majorHAnsi" w:cstheme="majorBidi"/>
          <w:bCs/>
          <w:color w:val="004B8D"/>
          <w:spacing w:val="0"/>
          <w:szCs w:val="26"/>
          <w:lang w:bidi="ar-SA"/>
        </w:rPr>
        <w:t>2</w:t>
      </w:r>
      <w:r w:rsidR="00CD708F">
        <w:rPr>
          <w:rFonts w:asciiTheme="majorHAnsi" w:eastAsiaTheme="majorEastAsia" w:hAnsiTheme="majorHAnsi" w:cstheme="majorBidi"/>
          <w:bCs/>
          <w:color w:val="004B8D"/>
          <w:spacing w:val="0"/>
          <w:szCs w:val="26"/>
          <w:lang w:bidi="ar-SA"/>
        </w:rPr>
        <w:t>.</w:t>
      </w:r>
      <w:r w:rsidR="00E34AB0">
        <w:rPr>
          <w:rFonts w:asciiTheme="majorHAnsi" w:eastAsiaTheme="majorEastAsia" w:hAnsiTheme="majorHAnsi" w:cstheme="majorBidi"/>
          <w:bCs/>
          <w:color w:val="004B8D"/>
          <w:spacing w:val="0"/>
          <w:szCs w:val="26"/>
          <w:lang w:bidi="ar-SA"/>
        </w:rPr>
        <w:t>3</w:t>
      </w:r>
      <w:r w:rsidR="00CD708F">
        <w:rPr>
          <w:rFonts w:asciiTheme="majorHAnsi" w:eastAsiaTheme="majorEastAsia" w:hAnsiTheme="majorHAnsi" w:cstheme="majorBidi"/>
          <w:bCs/>
          <w:color w:val="004B8D"/>
          <w:spacing w:val="0"/>
          <w:szCs w:val="26"/>
          <w:lang w:bidi="ar-SA"/>
        </w:rPr>
        <w:t xml:space="preserve"> Struktura Národní RIS3 strategie</w:t>
      </w:r>
      <w:bookmarkEnd w:id="23"/>
    </w:p>
    <w:p w14:paraId="0A4B034B" w14:textId="77777777" w:rsidR="00A81950" w:rsidRDefault="00A81950" w:rsidP="00BA59FB">
      <w:pPr>
        <w:rPr>
          <w:lang w:bidi="ar-SA"/>
        </w:rPr>
      </w:pPr>
      <w:r>
        <w:rPr>
          <w:lang w:bidi="ar-SA"/>
        </w:rPr>
        <w:t>Struktura Národní RIS3 strategie se nevymyká zvyklostem běžně uplatňovaných při tvorbě strategických dokumentů</w:t>
      </w:r>
      <w:r w:rsidR="003F1867">
        <w:rPr>
          <w:lang w:bidi="ar-SA"/>
        </w:rPr>
        <w:t>. V</w:t>
      </w:r>
      <w:r>
        <w:rPr>
          <w:lang w:bidi="ar-SA"/>
        </w:rPr>
        <w:t xml:space="preserve"> souladu s intervenční logikou je koncipována do základních částí – analytické, návrhové a implementační (včetně monitoringu a hodnocení). </w:t>
      </w:r>
    </w:p>
    <w:p w14:paraId="7AC9FD01" w14:textId="77777777" w:rsidR="00D20583" w:rsidRDefault="00D20583" w:rsidP="00BA59FB">
      <w:pPr>
        <w:rPr>
          <w:lang w:bidi="ar-SA"/>
        </w:rPr>
      </w:pPr>
      <w:r>
        <w:rPr>
          <w:lang w:bidi="ar-SA"/>
        </w:rPr>
        <w:t xml:space="preserve">Analytická část Národní RIS3 strategie vymezuje 4 </w:t>
      </w:r>
      <w:r w:rsidRPr="006247D7">
        <w:rPr>
          <w:b/>
          <w:lang w:bidi="ar-SA"/>
        </w:rPr>
        <w:t>základní oblasti</w:t>
      </w:r>
      <w:r>
        <w:rPr>
          <w:lang w:bidi="ar-SA"/>
        </w:rPr>
        <w:t xml:space="preserve"> a jejich </w:t>
      </w:r>
      <w:r w:rsidRPr="006247D7">
        <w:rPr>
          <w:b/>
          <w:lang w:bidi="ar-SA"/>
        </w:rPr>
        <w:t>problémové okruhy</w:t>
      </w:r>
      <w:r>
        <w:rPr>
          <w:lang w:bidi="ar-SA"/>
        </w:rPr>
        <w:t xml:space="preserve">, které podmiňují rozvoj inovací vedoucí k dosahování konkurenční výhody a hospodářského růstu. Celkem bylo identifikováno 14 problémových okruhů. Analytická část je završena SWOT. </w:t>
      </w:r>
    </w:p>
    <w:p w14:paraId="31FC0860" w14:textId="77777777" w:rsidR="00D20583" w:rsidRPr="00B90483" w:rsidRDefault="00D20583" w:rsidP="00D20583">
      <w:pPr>
        <w:rPr>
          <w:lang w:bidi="ar-SA"/>
        </w:rPr>
      </w:pPr>
      <w:r>
        <w:rPr>
          <w:lang w:bidi="ar-SA"/>
        </w:rPr>
        <w:t xml:space="preserve">Na základě výstupů analytické části, resp. identifikovaných problémových okruhů byla koncipována návrhová část strategie. Národní RIS3 strategie je koncipována ve dvou základních strukturních rovinách. První rovinu představují tzv. </w:t>
      </w:r>
      <w:r w:rsidRPr="00DA5DD6">
        <w:rPr>
          <w:b/>
          <w:lang w:bidi="ar-SA"/>
        </w:rPr>
        <w:t>klíčové oblasti změn (horizontální cíle)</w:t>
      </w:r>
      <w:r>
        <w:rPr>
          <w:lang w:bidi="ar-SA"/>
        </w:rPr>
        <w:t xml:space="preserve">, dále rozpracované do </w:t>
      </w:r>
      <w:r w:rsidRPr="00DA5DD6">
        <w:rPr>
          <w:b/>
          <w:i/>
          <w:lang w:bidi="ar-SA"/>
        </w:rPr>
        <w:t>strategických a specifických cílů</w:t>
      </w:r>
      <w:r>
        <w:rPr>
          <w:lang w:bidi="ar-SA"/>
        </w:rPr>
        <w:t xml:space="preserve">. Druhou rovinu představují </w:t>
      </w:r>
      <w:r w:rsidRPr="00DA5DD6">
        <w:rPr>
          <w:b/>
          <w:lang w:bidi="ar-SA"/>
        </w:rPr>
        <w:t>národní domény specializace (vertikální cíle)</w:t>
      </w:r>
      <w:r>
        <w:rPr>
          <w:lang w:bidi="ar-SA"/>
        </w:rPr>
        <w:t xml:space="preserve">. Tyto národní domény specializace jsou ve vzájemné koherenci řešeny jako domény </w:t>
      </w:r>
      <w:r w:rsidRPr="00DA5DD6">
        <w:rPr>
          <w:b/>
          <w:i/>
          <w:lang w:bidi="ar-SA"/>
        </w:rPr>
        <w:t>výzkumné specializace</w:t>
      </w:r>
      <w:r>
        <w:rPr>
          <w:lang w:bidi="ar-SA"/>
        </w:rPr>
        <w:t xml:space="preserve"> </w:t>
      </w:r>
      <w:r w:rsidRPr="00B90483">
        <w:rPr>
          <w:i/>
          <w:lang w:bidi="ar-SA"/>
        </w:rPr>
        <w:t>(znalostní domény)</w:t>
      </w:r>
      <w:r>
        <w:rPr>
          <w:lang w:bidi="ar-SA"/>
        </w:rPr>
        <w:t xml:space="preserve"> a domény </w:t>
      </w:r>
      <w:r w:rsidRPr="00B90483">
        <w:rPr>
          <w:b/>
          <w:i/>
          <w:lang w:bidi="ar-SA"/>
        </w:rPr>
        <w:t>ekonomické specializace</w:t>
      </w:r>
      <w:r>
        <w:rPr>
          <w:i/>
          <w:lang w:bidi="ar-SA"/>
        </w:rPr>
        <w:t xml:space="preserve"> (aplikační odvětví).</w:t>
      </w:r>
    </w:p>
    <w:p w14:paraId="2CDA0BD7" w14:textId="77777777" w:rsidR="00D20583" w:rsidRDefault="00553EFF" w:rsidP="00BA59FB">
      <w:pPr>
        <w:rPr>
          <w:lang w:bidi="ar-SA"/>
        </w:rPr>
      </w:pPr>
      <w:r>
        <w:rPr>
          <w:lang w:bidi="ar-SA"/>
        </w:rPr>
        <w:t xml:space="preserve">Bližší analýza </w:t>
      </w:r>
      <w:r w:rsidR="00892796">
        <w:rPr>
          <w:lang w:bidi="ar-SA"/>
        </w:rPr>
        <w:t xml:space="preserve">zacílení Národní RIS3 strategie, </w:t>
      </w:r>
      <w:r>
        <w:rPr>
          <w:lang w:bidi="ar-SA"/>
        </w:rPr>
        <w:t xml:space="preserve">národních domén specializace a aplikačních odvětví je uvedena v kap. </w:t>
      </w:r>
      <w:r w:rsidR="000C22EF">
        <w:rPr>
          <w:lang w:bidi="ar-SA"/>
        </w:rPr>
        <w:t>3.2.</w:t>
      </w:r>
      <w:r>
        <w:rPr>
          <w:lang w:bidi="ar-SA"/>
        </w:rPr>
        <w:t xml:space="preserve"> </w:t>
      </w:r>
    </w:p>
    <w:p w14:paraId="4404FD17" w14:textId="77777777" w:rsidR="007539E0" w:rsidRDefault="00191C70" w:rsidP="00BA59FB">
      <w:pPr>
        <w:rPr>
          <w:lang w:bidi="ar-SA"/>
        </w:rPr>
      </w:pPr>
      <w:r>
        <w:rPr>
          <w:lang w:bidi="ar-SA"/>
        </w:rPr>
        <w:lastRenderedPageBreak/>
        <w:t xml:space="preserve">Implementační část strategie se věnuje institucionálnímu řízení Národní RIS3 strategie, specifikuje jednotlivé aktéry implementace a jejich roli, a to jak na národní, tak na krajské úrovni. Bližší analýza implementace, včetně EDP procesu je uvedena v kap. </w:t>
      </w:r>
      <w:r w:rsidR="000C22EF">
        <w:rPr>
          <w:lang w:bidi="ar-SA"/>
        </w:rPr>
        <w:t>6</w:t>
      </w:r>
      <w:r>
        <w:rPr>
          <w:lang w:bidi="ar-SA"/>
        </w:rPr>
        <w:t xml:space="preserve">. </w:t>
      </w:r>
    </w:p>
    <w:p w14:paraId="0E6E27DC" w14:textId="77777777" w:rsidR="00E8004C" w:rsidRPr="0078648F" w:rsidRDefault="007539E0" w:rsidP="00BA59FB">
      <w:pPr>
        <w:rPr>
          <w:lang w:bidi="ar-SA"/>
        </w:rPr>
      </w:pPr>
      <w:r>
        <w:rPr>
          <w:lang w:bidi="ar-SA"/>
        </w:rPr>
        <w:t xml:space="preserve">Jak již bylo uvedeno v předchozí </w:t>
      </w:r>
      <w:r w:rsidR="009B5EC9">
        <w:rPr>
          <w:lang w:bidi="ar-SA"/>
        </w:rPr>
        <w:t>části</w:t>
      </w:r>
      <w:r>
        <w:rPr>
          <w:lang w:bidi="ar-SA"/>
        </w:rPr>
        <w:t xml:space="preserve">, financování Národní RIS3 strategie je postaveno zejména na finančních alokacích operačních programů a národních programů podpory. S tím úzce souvisí monitoring a vyhodnocování plnění cílů Národní RIS3 strategie prostřednictvím těchto programů (blíže kap. </w:t>
      </w:r>
      <w:r w:rsidR="000C22EF">
        <w:rPr>
          <w:lang w:bidi="ar-SA"/>
        </w:rPr>
        <w:t>4</w:t>
      </w:r>
      <w:r>
        <w:rPr>
          <w:lang w:bidi="ar-SA"/>
        </w:rPr>
        <w:t xml:space="preserve">), včetně evaluačních aktivit. </w:t>
      </w:r>
      <w:r w:rsidR="00E8004C" w:rsidRPr="0078648F">
        <w:rPr>
          <w:lang w:bidi="ar-SA"/>
        </w:rPr>
        <w:br w:type="page"/>
      </w:r>
    </w:p>
    <w:p w14:paraId="32FBE7DB" w14:textId="77777777" w:rsidR="00CB6219" w:rsidRDefault="000E68E1" w:rsidP="00246ECF">
      <w:pPr>
        <w:pStyle w:val="Nadpis1"/>
        <w:numPr>
          <w:ilvl w:val="0"/>
          <w:numId w:val="0"/>
        </w:numPr>
        <w:pBdr>
          <w:top w:val="none" w:sz="0" w:space="0" w:color="auto"/>
          <w:left w:val="none" w:sz="0" w:space="0" w:color="auto"/>
        </w:pBdr>
        <w:rPr>
          <w:rFonts w:asciiTheme="majorHAnsi" w:eastAsiaTheme="majorEastAsia" w:hAnsiTheme="majorHAnsi" w:cstheme="majorBidi"/>
          <w:color w:val="004B8D"/>
          <w:spacing w:val="0"/>
          <w:sz w:val="32"/>
          <w:szCs w:val="32"/>
          <w:lang w:bidi="ar-SA"/>
        </w:rPr>
      </w:pPr>
      <w:bookmarkStart w:id="24" w:name="_Toc5626444"/>
      <w:r>
        <w:rPr>
          <w:rFonts w:asciiTheme="majorHAnsi" w:eastAsiaTheme="majorEastAsia" w:hAnsiTheme="majorHAnsi" w:cstheme="majorBidi"/>
          <w:color w:val="004B8D"/>
          <w:spacing w:val="0"/>
          <w:sz w:val="32"/>
          <w:szCs w:val="32"/>
          <w:lang w:bidi="ar-SA"/>
        </w:rPr>
        <w:lastRenderedPageBreak/>
        <w:t>3</w:t>
      </w:r>
      <w:r w:rsidR="00EA3935" w:rsidRPr="008E50DD">
        <w:rPr>
          <w:rFonts w:asciiTheme="majorHAnsi" w:eastAsiaTheme="majorEastAsia" w:hAnsiTheme="majorHAnsi" w:cstheme="majorBidi"/>
          <w:color w:val="004B8D"/>
          <w:spacing w:val="0"/>
          <w:sz w:val="32"/>
          <w:szCs w:val="32"/>
          <w:lang w:bidi="ar-SA"/>
        </w:rPr>
        <w:t xml:space="preserve">. </w:t>
      </w:r>
      <w:bookmarkEnd w:id="4"/>
      <w:bookmarkEnd w:id="5"/>
      <w:bookmarkEnd w:id="6"/>
      <w:r w:rsidR="0078648F">
        <w:rPr>
          <w:rFonts w:asciiTheme="majorHAnsi" w:eastAsiaTheme="majorEastAsia" w:hAnsiTheme="majorHAnsi" w:cstheme="majorBidi"/>
          <w:color w:val="004B8D"/>
          <w:spacing w:val="0"/>
          <w:sz w:val="32"/>
          <w:szCs w:val="32"/>
          <w:lang w:bidi="ar-SA"/>
        </w:rPr>
        <w:t xml:space="preserve">Evaluační okruh I. - </w:t>
      </w:r>
      <w:r w:rsidR="0078648F" w:rsidRPr="0078648F">
        <w:rPr>
          <w:rFonts w:asciiTheme="majorHAnsi" w:eastAsiaTheme="majorEastAsia" w:hAnsiTheme="majorHAnsi" w:cstheme="majorBidi"/>
          <w:color w:val="004B8D"/>
          <w:spacing w:val="0"/>
          <w:sz w:val="32"/>
          <w:szCs w:val="32"/>
          <w:lang w:bidi="ar-SA"/>
        </w:rPr>
        <w:t>Ověření aktuálnosti zacílení RIS3 ve vztahu k vývoji vnějšího prostředí</w:t>
      </w:r>
      <w:bookmarkEnd w:id="24"/>
    </w:p>
    <w:p w14:paraId="04FA9A99" w14:textId="77777777" w:rsidR="0078648F" w:rsidRPr="00EE0762" w:rsidRDefault="000E68E1" w:rsidP="00EE0762">
      <w:pPr>
        <w:pStyle w:val="Nadpis2"/>
        <w:keepNext/>
        <w:keepLines/>
        <w:numPr>
          <w:ilvl w:val="0"/>
          <w:numId w:val="0"/>
        </w:numPr>
        <w:pBdr>
          <w:top w:val="none" w:sz="0" w:space="0" w:color="auto"/>
          <w:left w:val="none" w:sz="0" w:space="0" w:color="auto"/>
        </w:pBdr>
        <w:shd w:val="clear" w:color="auto" w:fill="auto"/>
        <w:spacing w:before="200" w:after="0"/>
        <w:jc w:val="left"/>
        <w:rPr>
          <w:rFonts w:asciiTheme="majorHAnsi" w:eastAsiaTheme="majorEastAsia" w:hAnsiTheme="majorHAnsi" w:cstheme="majorBidi"/>
          <w:bCs/>
          <w:color w:val="004B8D"/>
          <w:spacing w:val="0"/>
          <w:szCs w:val="26"/>
          <w:lang w:bidi="ar-SA"/>
        </w:rPr>
      </w:pPr>
      <w:bookmarkStart w:id="25" w:name="_Toc5626445"/>
      <w:r>
        <w:rPr>
          <w:rFonts w:asciiTheme="majorHAnsi" w:eastAsiaTheme="majorEastAsia" w:hAnsiTheme="majorHAnsi" w:cstheme="majorBidi"/>
          <w:bCs/>
          <w:color w:val="004B8D"/>
          <w:spacing w:val="0"/>
          <w:szCs w:val="26"/>
          <w:lang w:bidi="ar-SA"/>
        </w:rPr>
        <w:t>3</w:t>
      </w:r>
      <w:r w:rsidR="00EE0762">
        <w:rPr>
          <w:rFonts w:asciiTheme="majorHAnsi" w:eastAsiaTheme="majorEastAsia" w:hAnsiTheme="majorHAnsi" w:cstheme="majorBidi"/>
          <w:bCs/>
          <w:color w:val="004B8D"/>
          <w:spacing w:val="0"/>
          <w:szCs w:val="26"/>
          <w:lang w:bidi="ar-SA"/>
        </w:rPr>
        <w:t xml:space="preserve">. 1 </w:t>
      </w:r>
      <w:r w:rsidR="006B382F" w:rsidRPr="00EE0762">
        <w:rPr>
          <w:rFonts w:asciiTheme="majorHAnsi" w:eastAsiaTheme="majorEastAsia" w:hAnsiTheme="majorHAnsi" w:cstheme="majorBidi"/>
          <w:bCs/>
          <w:color w:val="004B8D"/>
          <w:spacing w:val="0"/>
          <w:szCs w:val="26"/>
          <w:lang w:bidi="ar-SA"/>
        </w:rPr>
        <w:t>Makroekonomická analýza</w:t>
      </w:r>
      <w:bookmarkEnd w:id="25"/>
    </w:p>
    <w:p w14:paraId="1D09917D" w14:textId="77777777" w:rsidR="007B13E4" w:rsidRDefault="007B13E4" w:rsidP="007B13E4">
      <w:pPr>
        <w:spacing w:after="0"/>
      </w:pPr>
      <w:r>
        <w:t xml:space="preserve">Práce na Národní RIS3 strategii byly zahájeny v 1. polovině roku 2013 a vlastní dokument vláda ČR poprvé projednávala v prosinci 2014. Aktuální makroekonomické trendy tohoto období se vyznačovaly </w:t>
      </w:r>
    </w:p>
    <w:p w14:paraId="131F1AD7" w14:textId="77777777" w:rsidR="007B13E4" w:rsidRDefault="007B13E4" w:rsidP="00D10F0D">
      <w:pPr>
        <w:pStyle w:val="Odstavecseseznamem"/>
        <w:numPr>
          <w:ilvl w:val="0"/>
          <w:numId w:val="12"/>
        </w:numPr>
        <w:spacing w:before="0"/>
        <w:ind w:left="714" w:hanging="357"/>
      </w:pPr>
      <w:r>
        <w:t xml:space="preserve">oživením ekonomiky </w:t>
      </w:r>
      <w:r w:rsidR="00DD023B">
        <w:t xml:space="preserve">po ekonomické </w:t>
      </w:r>
      <w:r w:rsidR="000F46AA">
        <w:t>recesi</w:t>
      </w:r>
      <w:r w:rsidR="00DD023B">
        <w:t xml:space="preserve"> v letech 20</w:t>
      </w:r>
      <w:r w:rsidR="000F46AA">
        <w:t>11</w:t>
      </w:r>
      <w:r w:rsidR="00DD023B">
        <w:t xml:space="preserve"> </w:t>
      </w:r>
      <w:r w:rsidR="000F46AA">
        <w:t>-</w:t>
      </w:r>
      <w:r w:rsidR="00DD023B">
        <w:t xml:space="preserve"> 20</w:t>
      </w:r>
      <w:r w:rsidR="000F46AA">
        <w:t>12</w:t>
      </w:r>
      <w:r w:rsidR="000F46AA">
        <w:rPr>
          <w:rStyle w:val="Znakapoznpodarou"/>
        </w:rPr>
        <w:footnoteReference w:id="17"/>
      </w:r>
      <w:r w:rsidR="00DD023B">
        <w:t xml:space="preserve"> </w:t>
      </w:r>
      <w:r>
        <w:t>a kladnými přírůstky HDP</w:t>
      </w:r>
    </w:p>
    <w:p w14:paraId="2B5566F3" w14:textId="77777777" w:rsidR="007B13E4" w:rsidRDefault="007B13E4" w:rsidP="00D10F0D">
      <w:pPr>
        <w:pStyle w:val="Odstavecseseznamem"/>
        <w:numPr>
          <w:ilvl w:val="0"/>
          <w:numId w:val="12"/>
        </w:numPr>
      </w:pPr>
      <w:r>
        <w:t>poklesem inflace</w:t>
      </w:r>
    </w:p>
    <w:p w14:paraId="065B3EA4" w14:textId="77777777" w:rsidR="007B13E4" w:rsidRDefault="007B13E4" w:rsidP="00D10F0D">
      <w:pPr>
        <w:pStyle w:val="Odstavecseseznamem"/>
        <w:numPr>
          <w:ilvl w:val="0"/>
          <w:numId w:val="12"/>
        </w:numPr>
      </w:pPr>
      <w:r>
        <w:t>postupným snižováním míry nezaměstnanosti</w:t>
      </w:r>
    </w:p>
    <w:p w14:paraId="757EBC31" w14:textId="77777777" w:rsidR="009C6C55" w:rsidRPr="009C6C55" w:rsidRDefault="00605061" w:rsidP="009C6C55">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bookmarkStart w:id="26" w:name="_Toc5626446"/>
      <w:r>
        <w:rPr>
          <w:rFonts w:asciiTheme="majorHAnsi" w:eastAsiaTheme="majorEastAsia" w:hAnsiTheme="majorHAnsi" w:cstheme="majorHAnsi"/>
          <w:i/>
          <w:caps/>
          <w:color w:val="004B8D"/>
          <w:spacing w:val="0"/>
          <w:sz w:val="22"/>
          <w:lang w:bidi="ar-SA"/>
        </w:rPr>
        <w:t xml:space="preserve">3.1.1 </w:t>
      </w:r>
      <w:r w:rsidR="009C6C55" w:rsidRPr="009C6C55">
        <w:rPr>
          <w:rFonts w:asciiTheme="majorHAnsi" w:eastAsiaTheme="majorEastAsia" w:hAnsiTheme="majorHAnsi" w:cstheme="majorHAnsi"/>
          <w:i/>
          <w:caps/>
          <w:color w:val="004B8D"/>
          <w:spacing w:val="0"/>
          <w:sz w:val="22"/>
          <w:lang w:bidi="ar-SA"/>
        </w:rPr>
        <w:t>Hlavní tendence vývoje české ekonomiky v letech 2011 –2018</w:t>
      </w:r>
      <w:bookmarkEnd w:id="26"/>
    </w:p>
    <w:p w14:paraId="1A06A0DC" w14:textId="379307E8" w:rsidR="009C6C55" w:rsidRDefault="009C6C55" w:rsidP="009C6C55">
      <w:r>
        <w:t>Ve své premise Národní RIS3 uvádí, že hospodářský dopad výzkumné a inovační strategie se pozitivně promítne do zaměstnanosti a do konkurenceschopné pozice na tuzemském i zahraničním trhu</w:t>
      </w:r>
      <w:r w:rsidR="00F33575">
        <w:t>….</w:t>
      </w:r>
      <w:r>
        <w:t xml:space="preserve"> </w:t>
      </w:r>
      <w:r w:rsidRPr="00513990">
        <w:rPr>
          <w:i/>
        </w:rPr>
        <w:t>„Abychom pomohli Evropě vzpamatovat se z ekonomické krize, potřebujeme aktivity a</w:t>
      </w:r>
      <w:r w:rsidR="00A73C58">
        <w:rPr>
          <w:i/>
        </w:rPr>
        <w:t> </w:t>
      </w:r>
      <w:r w:rsidRPr="00513990">
        <w:rPr>
          <w:i/>
        </w:rPr>
        <w:t xml:space="preserve"> investice, které pomáhají zemím a regionům uvolnit nový růstový potenciál</w:t>
      </w:r>
      <w:r w:rsidR="00F33575">
        <w:rPr>
          <w:i/>
        </w:rPr>
        <w:t>…</w:t>
      </w:r>
      <w:r w:rsidRPr="00513990">
        <w:rPr>
          <w:i/>
        </w:rPr>
        <w:t>.“</w:t>
      </w:r>
      <w:r>
        <w:rPr>
          <w:rStyle w:val="Znakapoznpodarou"/>
        </w:rPr>
        <w:footnoteReference w:id="18"/>
      </w:r>
      <w:r w:rsidR="000C22EF">
        <w:rPr>
          <w:i/>
        </w:rPr>
        <w:t>.</w:t>
      </w:r>
    </w:p>
    <w:p w14:paraId="0B55D18C" w14:textId="77777777" w:rsidR="009C6C55" w:rsidRDefault="009C6C55" w:rsidP="009C6C55">
      <w:r>
        <w:t xml:space="preserve">Z hlediska načasování </w:t>
      </w:r>
      <w:r w:rsidR="00DD023B">
        <w:t>byla</w:t>
      </w:r>
      <w:r>
        <w:t xml:space="preserve"> Národní RIS3 strategie České republiky </w:t>
      </w:r>
      <w:r w:rsidR="00DD023B">
        <w:t>schválena</w:t>
      </w:r>
      <w:r>
        <w:t xml:space="preserve"> na počátku období velmi pozitivní hospodářské situace</w:t>
      </w:r>
      <w:r w:rsidR="00DD023B">
        <w:t xml:space="preserve">. V roce 2014 ČR definitivně překonala recesi a od roku </w:t>
      </w:r>
      <w:r>
        <w:t>2015</w:t>
      </w:r>
      <w:r w:rsidR="00DD023B">
        <w:t xml:space="preserve"> dochází k oživení ekonomiky</w:t>
      </w:r>
      <w:r>
        <w:t xml:space="preserve">. </w:t>
      </w:r>
      <w:r w:rsidR="00DD023B">
        <w:t>To se projevilo nízkou n</w:t>
      </w:r>
      <w:r>
        <w:t>ezaměstnanost</w:t>
      </w:r>
      <w:r w:rsidR="00DD023B">
        <w:t>í</w:t>
      </w:r>
      <w:r>
        <w:t xml:space="preserve">, </w:t>
      </w:r>
      <w:r w:rsidR="00DD023B">
        <w:t xml:space="preserve">relativně vysokými </w:t>
      </w:r>
      <w:r>
        <w:t>přírůstky HDP</w:t>
      </w:r>
      <w:r w:rsidR="00DD023B">
        <w:t xml:space="preserve"> a </w:t>
      </w:r>
      <w:r>
        <w:t>meziroční</w:t>
      </w:r>
      <w:r w:rsidR="00DD023B">
        <w:t>mi</w:t>
      </w:r>
      <w:r>
        <w:t xml:space="preserve"> přírůstky </w:t>
      </w:r>
      <w:r w:rsidR="00DD023B">
        <w:t xml:space="preserve">exportu </w:t>
      </w:r>
      <w:r>
        <w:t>5-6%</w:t>
      </w:r>
      <w:r w:rsidR="00DD023B">
        <w:rPr>
          <w:rStyle w:val="Znakapoznpodarou"/>
        </w:rPr>
        <w:footnoteReference w:id="19"/>
      </w:r>
      <w:r>
        <w:t xml:space="preserve">. </w:t>
      </w:r>
    </w:p>
    <w:p w14:paraId="76548F1E" w14:textId="77777777" w:rsidR="00BF6B7C" w:rsidRDefault="005C14B2" w:rsidP="009C6C55">
      <w:r>
        <w:t>Z v</w:t>
      </w:r>
      <w:r w:rsidR="009C6C55">
        <w:t xml:space="preserve">lastní implementace </w:t>
      </w:r>
      <w:r w:rsidR="004E5B05">
        <w:t>Národní RIS3 strategie</w:t>
      </w:r>
      <w:r w:rsidR="009C6C55">
        <w:t xml:space="preserve"> </w:t>
      </w:r>
      <w:r>
        <w:t>lze usuzovat</w:t>
      </w:r>
      <w:r w:rsidR="009C6C55">
        <w:t xml:space="preserve">, že </w:t>
      </w:r>
      <w:r>
        <w:t>tato uspokojivá ekonomická situace</w:t>
      </w:r>
      <w:r w:rsidR="004E5B05">
        <w:t xml:space="preserve"> mohl</w:t>
      </w:r>
      <w:r>
        <w:t>a</w:t>
      </w:r>
      <w:r w:rsidR="004E5B05">
        <w:t xml:space="preserve"> být jed</w:t>
      </w:r>
      <w:r>
        <w:t>ním</w:t>
      </w:r>
      <w:r w:rsidR="004E5B05">
        <w:t xml:space="preserve"> z důvodů, proč</w:t>
      </w:r>
      <w:r w:rsidR="009C6C55">
        <w:t xml:space="preserve"> akcent Národní RIS3 strategie na inovace pronikl do povědomí podnikatelů a výzkumníků jen minimálně. </w:t>
      </w:r>
      <w:r w:rsidR="004E5B05">
        <w:t xml:space="preserve">Z realizovaného šetření mezi stakeholdery Národní RIS3 strategie, zejména příjemci dotací z OP </w:t>
      </w:r>
      <w:r w:rsidR="00226670">
        <w:t xml:space="preserve">(výzvy s ex-ante kondicionalitou) </w:t>
      </w:r>
      <w:r w:rsidR="004E5B05">
        <w:t xml:space="preserve">a NPP </w:t>
      </w:r>
      <w:r w:rsidR="00226670">
        <w:t>(Gama, Epsilon, Centra kompete</w:t>
      </w:r>
      <w:r>
        <w:t>n</w:t>
      </w:r>
      <w:r w:rsidR="00226670">
        <w:t xml:space="preserve">ce a TRIO) </w:t>
      </w:r>
      <w:r w:rsidR="004E5B05">
        <w:t xml:space="preserve">vyplynulo velmi nízké povědomí o existenci této strategie. </w:t>
      </w:r>
      <w:r w:rsidR="00624865">
        <w:t xml:space="preserve">Téměř 60 % příjemců dotace na rozvoj výzkumných a inovačních aktivit nemá  hlubší povědomí o </w:t>
      </w:r>
      <w:r w:rsidR="00226670">
        <w:t>existenci, resp. zaměření Národní RIS3 strategie (26 % respondentů nikdy neslyšelo o Národní RIS3 strategii; 31 % respondentů ví, že tato strategie existuje, ale nemá povědomí, čeho se týká)</w:t>
      </w:r>
      <w:r w:rsidR="00226670">
        <w:rPr>
          <w:rStyle w:val="Znakapoznpodarou"/>
        </w:rPr>
        <w:footnoteReference w:id="20"/>
      </w:r>
      <w:r w:rsidR="00226670">
        <w:t xml:space="preserve">.  </w:t>
      </w:r>
    </w:p>
    <w:p w14:paraId="250378FF" w14:textId="77777777" w:rsidR="009C6C55" w:rsidRDefault="009C6C55" w:rsidP="009C6C55">
      <w:r>
        <w:t xml:space="preserve">Pro velkou část podnikatelské veřejnosti </w:t>
      </w:r>
      <w:r w:rsidR="005C14B2">
        <w:t>tak mohla být</w:t>
      </w:r>
      <w:r>
        <w:t xml:space="preserve"> naléhavost zásadní strategické změny ve struktuře tuzemské produkce nepochopitelná, když v daném okamžiku ekonomika (ještě) ros</w:t>
      </w:r>
      <w:r w:rsidR="00EB6155">
        <w:t>tla</w:t>
      </w:r>
      <w:r>
        <w:t xml:space="preserve">. Ve výzkumné sféře </w:t>
      </w:r>
      <w:r w:rsidR="00EB6155">
        <w:t>bylo</w:t>
      </w:r>
      <w:r>
        <w:t xml:space="preserve"> pochopení pro potřebu strategické změny sice vyšší, avšak nezbytná podmínka, spočívající v užším propojen</w:t>
      </w:r>
      <w:r w:rsidR="005C14B2">
        <w:t>í</w:t>
      </w:r>
      <w:r>
        <w:t xml:space="preserve"> výzkumné a výrobní základny, ještě všude nedozrála.</w:t>
      </w:r>
    </w:p>
    <w:p w14:paraId="1145954C" w14:textId="77777777" w:rsidR="009C6C55" w:rsidRDefault="005B4F89" w:rsidP="009C6C55">
      <w:r w:rsidRPr="005B4F89">
        <w:lastRenderedPageBreak/>
        <w:t>V</w:t>
      </w:r>
      <w:r w:rsidR="009C6C55" w:rsidRPr="005B4F89">
        <w:t>ývoj HDP a souvisejících makroekonomických parametrů</w:t>
      </w:r>
      <w:r>
        <w:t xml:space="preserve"> je patrný z následujících grafů</w:t>
      </w:r>
      <w:r w:rsidR="009C6C55" w:rsidRPr="005B4F89">
        <w:t>.</w:t>
      </w:r>
      <w:r>
        <w:t xml:space="preserve"> </w:t>
      </w:r>
    </w:p>
    <w:p w14:paraId="357D431A" w14:textId="77777777" w:rsidR="00880D1B" w:rsidRDefault="00880D1B" w:rsidP="00880D1B">
      <w:pPr>
        <w:spacing w:after="0" w:line="240" w:lineRule="auto"/>
        <w:rPr>
          <w:rFonts w:eastAsia="Times New Roman" w:cstheme="minorHAnsi"/>
          <w:b/>
          <w:lang w:eastAsia="cs-CZ"/>
        </w:rPr>
      </w:pPr>
      <w:bookmarkStart w:id="27" w:name="_Toc5626484"/>
      <w:r w:rsidRPr="00570F07">
        <w:rPr>
          <w:b/>
          <w:szCs w:val="22"/>
        </w:rPr>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1</w:t>
      </w:r>
      <w:r w:rsidR="008A090D" w:rsidRPr="00570F07">
        <w:rPr>
          <w:b/>
          <w:szCs w:val="22"/>
        </w:rPr>
        <w:fldChar w:fldCharType="end"/>
      </w:r>
      <w:r w:rsidRPr="00570F07">
        <w:rPr>
          <w:b/>
          <w:szCs w:val="22"/>
        </w:rPr>
        <w:t xml:space="preserve"> - </w:t>
      </w:r>
      <w:r w:rsidRPr="00880D1B">
        <w:rPr>
          <w:rFonts w:eastAsia="Times New Roman" w:cs="Calibri"/>
          <w:color w:val="000000"/>
          <w:spacing w:val="0"/>
          <w:szCs w:val="22"/>
          <w:lang w:eastAsia="cs-CZ" w:bidi="ar-SA"/>
        </w:rPr>
        <w:t>HDP výdajovou metodou</w:t>
      </w:r>
      <w:bookmarkEnd w:id="27"/>
    </w:p>
    <w:p w14:paraId="218402A8" w14:textId="77777777" w:rsidR="009C6C55" w:rsidRPr="00EB6155" w:rsidRDefault="009C6C55" w:rsidP="009C6C55">
      <w:pPr>
        <w:pStyle w:val="xl23"/>
        <w:pBdr>
          <w:left w:val="none" w:sz="0" w:space="0" w:color="auto"/>
          <w:right w:val="none" w:sz="0" w:space="0" w:color="auto"/>
        </w:pBdr>
        <w:tabs>
          <w:tab w:val="left" w:pos="6804"/>
        </w:tabs>
        <w:overflowPunct w:val="0"/>
        <w:autoSpaceDE w:val="0"/>
        <w:autoSpaceDN w:val="0"/>
        <w:adjustRightInd w:val="0"/>
        <w:spacing w:before="0" w:beforeAutospacing="0" w:after="0" w:afterAutospacing="0"/>
        <w:jc w:val="left"/>
        <w:textAlignment w:val="baseline"/>
        <w:rPr>
          <w:rFonts w:asciiTheme="majorHAnsi" w:hAnsiTheme="majorHAnsi" w:cstheme="majorHAnsi"/>
        </w:rPr>
      </w:pPr>
      <w:r w:rsidRPr="00EB6155">
        <w:rPr>
          <w:rFonts w:asciiTheme="majorHAnsi" w:hAnsiTheme="majorHAnsi" w:cstheme="majorHAnsi"/>
        </w:rPr>
        <w:t xml:space="preserve"> (HDP - změna v %, výdaje – změna v % )</w:t>
      </w:r>
    </w:p>
    <w:p w14:paraId="6066A213" w14:textId="77777777" w:rsidR="009C6C55" w:rsidRDefault="009C6C55" w:rsidP="009C6C55">
      <w:pPr>
        <w:spacing w:after="0" w:line="240" w:lineRule="auto"/>
        <w:rPr>
          <w:lang w:eastAsia="cs-CZ"/>
        </w:rPr>
      </w:pPr>
      <w:r w:rsidRPr="00B51653">
        <w:rPr>
          <w:noProof/>
          <w:lang w:eastAsia="cs-CZ" w:bidi="ar-SA"/>
        </w:rPr>
        <w:drawing>
          <wp:inline distT="0" distB="0" distL="0" distR="0" wp14:anchorId="6751B33C" wp14:editId="4455E18F">
            <wp:extent cx="5760720" cy="3624085"/>
            <wp:effectExtent l="19050" t="0" r="0" b="0"/>
            <wp:docPr id="1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5760720" cy="3624085"/>
                    </a:xfrm>
                    <a:prstGeom prst="rect">
                      <a:avLst/>
                    </a:prstGeom>
                    <a:noFill/>
                    <a:ln w="9525">
                      <a:noFill/>
                      <a:miter lim="800000"/>
                      <a:headEnd/>
                      <a:tailEnd/>
                    </a:ln>
                  </pic:spPr>
                </pic:pic>
              </a:graphicData>
            </a:graphic>
          </wp:inline>
        </w:drawing>
      </w:r>
    </w:p>
    <w:p w14:paraId="5C6491D6" w14:textId="77777777" w:rsidR="009C6C55" w:rsidRPr="00AF062D" w:rsidRDefault="009C6C55" w:rsidP="0087375B">
      <w:pPr>
        <w:spacing w:before="0" w:after="120"/>
        <w:rPr>
          <w:rFonts w:cs="Arial"/>
          <w:i/>
          <w:sz w:val="18"/>
          <w:szCs w:val="18"/>
        </w:rPr>
      </w:pPr>
      <w:r w:rsidRPr="00AF062D">
        <w:rPr>
          <w:rFonts w:cs="Arial"/>
          <w:i/>
          <w:sz w:val="18"/>
          <w:szCs w:val="18"/>
        </w:rPr>
        <w:t>Zdroj: ČSÚ</w:t>
      </w:r>
      <w:r>
        <w:rPr>
          <w:rFonts w:cs="Arial"/>
          <w:i/>
          <w:sz w:val="18"/>
          <w:szCs w:val="18"/>
        </w:rPr>
        <w:t xml:space="preserve"> </w:t>
      </w:r>
      <w:hyperlink r:id="rId11" w:history="1">
        <w:r w:rsidRPr="00CC16AF">
          <w:rPr>
            <w:rStyle w:val="Hypertextovodkaz"/>
            <w:rFonts w:cs="Arial"/>
            <w:i/>
            <w:sz w:val="18"/>
            <w:szCs w:val="18"/>
          </w:rPr>
          <w:t>https://www.czso.cz/csu/czso/hdp_cr</w:t>
        </w:r>
      </w:hyperlink>
      <w:r w:rsidRPr="00AF062D">
        <w:rPr>
          <w:rFonts w:cs="Arial"/>
          <w:i/>
          <w:sz w:val="18"/>
          <w:szCs w:val="18"/>
        </w:rPr>
        <w:t xml:space="preserve">, vlastní zpracování </w:t>
      </w:r>
    </w:p>
    <w:p w14:paraId="193B9DE7" w14:textId="77777777" w:rsidR="00880D1B" w:rsidRDefault="00880D1B" w:rsidP="00880D1B">
      <w:pPr>
        <w:spacing w:after="0" w:line="240" w:lineRule="auto"/>
        <w:rPr>
          <w:rFonts w:eastAsia="Times New Roman" w:cstheme="minorHAnsi"/>
          <w:b/>
          <w:lang w:eastAsia="cs-CZ"/>
        </w:rPr>
      </w:pPr>
      <w:bookmarkStart w:id="28" w:name="_Toc5626485"/>
      <w:r w:rsidRPr="00570F07">
        <w:rPr>
          <w:b/>
          <w:szCs w:val="22"/>
        </w:rPr>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2</w:t>
      </w:r>
      <w:r w:rsidR="008A090D" w:rsidRPr="00570F07">
        <w:rPr>
          <w:b/>
          <w:szCs w:val="22"/>
        </w:rPr>
        <w:fldChar w:fldCharType="end"/>
      </w:r>
      <w:r w:rsidRPr="00570F07">
        <w:rPr>
          <w:b/>
          <w:szCs w:val="22"/>
        </w:rPr>
        <w:t xml:space="preserve"> - </w:t>
      </w:r>
      <w:r w:rsidRPr="00880D1B">
        <w:rPr>
          <w:rFonts w:eastAsia="Times New Roman" w:cs="Calibri"/>
          <w:color w:val="000000"/>
          <w:spacing w:val="0"/>
          <w:szCs w:val="22"/>
          <w:lang w:eastAsia="cs-CZ" w:bidi="ar-SA"/>
        </w:rPr>
        <w:t>HDP výrobní metodou</w:t>
      </w:r>
      <w:bookmarkEnd w:id="28"/>
    </w:p>
    <w:p w14:paraId="1F25749F" w14:textId="77777777" w:rsidR="009C6C55" w:rsidRDefault="009C6C55" w:rsidP="009C6C55">
      <w:pPr>
        <w:spacing w:after="0" w:line="240" w:lineRule="auto"/>
        <w:contextualSpacing/>
        <w:rPr>
          <w:rFonts w:cs="Arial"/>
        </w:rPr>
      </w:pPr>
      <w:r w:rsidRPr="00BA4F8E">
        <w:rPr>
          <w:rFonts w:cs="Arial"/>
        </w:rPr>
        <w:t xml:space="preserve">(HDP - změna v %, </w:t>
      </w:r>
      <w:r>
        <w:rPr>
          <w:rFonts w:cs="Arial"/>
        </w:rPr>
        <w:t>zdro</w:t>
      </w:r>
      <w:r w:rsidRPr="00BA4F8E">
        <w:rPr>
          <w:rFonts w:cs="Arial"/>
        </w:rPr>
        <w:t xml:space="preserve">je </w:t>
      </w:r>
      <w:r>
        <w:rPr>
          <w:rFonts w:cs="Arial"/>
        </w:rPr>
        <w:t>–</w:t>
      </w:r>
      <w:r w:rsidRPr="00BA4F8E">
        <w:rPr>
          <w:rFonts w:cs="Arial"/>
        </w:rPr>
        <w:t xml:space="preserve"> </w:t>
      </w:r>
      <w:r>
        <w:rPr>
          <w:rFonts w:cs="Arial"/>
        </w:rPr>
        <w:t xml:space="preserve">změna v % </w:t>
      </w:r>
      <w:r w:rsidRPr="00BA4F8E">
        <w:rPr>
          <w:rFonts w:cs="Arial"/>
        </w:rPr>
        <w:t>)</w:t>
      </w:r>
    </w:p>
    <w:p w14:paraId="7AF7B919" w14:textId="77777777" w:rsidR="009C6C55" w:rsidRDefault="009C6C55" w:rsidP="009C6C55">
      <w:pPr>
        <w:spacing w:after="0" w:line="240" w:lineRule="auto"/>
        <w:rPr>
          <w:rFonts w:cs="Arial"/>
        </w:rPr>
      </w:pPr>
      <w:r w:rsidRPr="00B51653">
        <w:rPr>
          <w:noProof/>
          <w:lang w:eastAsia="cs-CZ" w:bidi="ar-SA"/>
        </w:rPr>
        <w:drawing>
          <wp:inline distT="0" distB="0" distL="0" distR="0" wp14:anchorId="2DBAFFD8" wp14:editId="79F5D396">
            <wp:extent cx="5343525" cy="2127457"/>
            <wp:effectExtent l="19050" t="0" r="9525" b="0"/>
            <wp:docPr id="1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5341759" cy="2126754"/>
                    </a:xfrm>
                    <a:prstGeom prst="rect">
                      <a:avLst/>
                    </a:prstGeom>
                    <a:noFill/>
                    <a:ln w="9525">
                      <a:noFill/>
                      <a:miter lim="800000"/>
                      <a:headEnd/>
                      <a:tailEnd/>
                    </a:ln>
                  </pic:spPr>
                </pic:pic>
              </a:graphicData>
            </a:graphic>
          </wp:inline>
        </w:drawing>
      </w:r>
    </w:p>
    <w:p w14:paraId="0C84DCE9" w14:textId="77777777" w:rsidR="009C6C55" w:rsidRDefault="009C6C55" w:rsidP="00D20055">
      <w:pPr>
        <w:spacing w:before="0" w:after="120"/>
        <w:rPr>
          <w:rFonts w:cs="Arial"/>
          <w:i/>
          <w:sz w:val="18"/>
          <w:szCs w:val="18"/>
        </w:rPr>
      </w:pPr>
      <w:r w:rsidRPr="00AF062D">
        <w:rPr>
          <w:rFonts w:cs="Arial"/>
          <w:i/>
          <w:sz w:val="18"/>
          <w:szCs w:val="18"/>
        </w:rPr>
        <w:t>Zdroj: ČSÚ</w:t>
      </w:r>
      <w:r>
        <w:rPr>
          <w:rFonts w:cs="Arial"/>
          <w:i/>
          <w:sz w:val="18"/>
          <w:szCs w:val="18"/>
        </w:rPr>
        <w:t xml:space="preserve"> </w:t>
      </w:r>
      <w:hyperlink r:id="rId13" w:history="1">
        <w:r w:rsidRPr="00CC16AF">
          <w:rPr>
            <w:rStyle w:val="Hypertextovodkaz"/>
            <w:rFonts w:cs="Arial"/>
            <w:i/>
            <w:sz w:val="18"/>
            <w:szCs w:val="18"/>
          </w:rPr>
          <w:t>https://www.czso.cz/csu/czso/hdp_cr</w:t>
        </w:r>
      </w:hyperlink>
      <w:r w:rsidRPr="00AF062D">
        <w:rPr>
          <w:rFonts w:cs="Arial"/>
          <w:i/>
          <w:sz w:val="18"/>
          <w:szCs w:val="18"/>
        </w:rPr>
        <w:t xml:space="preserve">, vlastní zpracování </w:t>
      </w:r>
    </w:p>
    <w:p w14:paraId="601B8E9D" w14:textId="77777777" w:rsidR="009B5EC9" w:rsidRDefault="009B5EC9" w:rsidP="008C5CED">
      <w:pPr>
        <w:contextualSpacing/>
        <w:rPr>
          <w:rFonts w:eastAsia="Times New Roman" w:cstheme="minorHAnsi"/>
          <w:lang w:eastAsia="cs-CZ"/>
        </w:rPr>
      </w:pPr>
    </w:p>
    <w:p w14:paraId="1C3B112D" w14:textId="77777777" w:rsidR="009C6C55" w:rsidRDefault="009C6C55" w:rsidP="008C5CED">
      <w:pPr>
        <w:rPr>
          <w:rFonts w:eastAsia="Times New Roman" w:cstheme="minorHAnsi"/>
          <w:lang w:eastAsia="cs-CZ"/>
        </w:rPr>
      </w:pPr>
      <w:r w:rsidRPr="004574F9">
        <w:rPr>
          <w:rFonts w:eastAsia="Times New Roman" w:cstheme="minorHAnsi"/>
          <w:lang w:eastAsia="cs-CZ"/>
        </w:rPr>
        <w:t>Dynamik</w:t>
      </w:r>
      <w:r>
        <w:rPr>
          <w:rFonts w:eastAsia="Times New Roman" w:cstheme="minorHAnsi"/>
          <w:lang w:eastAsia="cs-CZ"/>
        </w:rPr>
        <w:t>a</w:t>
      </w:r>
      <w:r w:rsidRPr="004574F9">
        <w:rPr>
          <w:rFonts w:eastAsia="Times New Roman" w:cstheme="minorHAnsi"/>
          <w:lang w:eastAsia="cs-CZ"/>
        </w:rPr>
        <w:t xml:space="preserve"> </w:t>
      </w:r>
      <w:r w:rsidR="000F46AA">
        <w:rPr>
          <w:rFonts w:eastAsia="Times New Roman" w:cstheme="minorHAnsi"/>
          <w:lang w:eastAsia="cs-CZ"/>
        </w:rPr>
        <w:t xml:space="preserve">růstu </w:t>
      </w:r>
      <w:r w:rsidRPr="004574F9">
        <w:rPr>
          <w:rFonts w:eastAsia="Times New Roman" w:cstheme="minorHAnsi"/>
          <w:lang w:eastAsia="cs-CZ"/>
        </w:rPr>
        <w:t xml:space="preserve">HDP ČR </w:t>
      </w:r>
      <w:r>
        <w:rPr>
          <w:rFonts w:eastAsia="Times New Roman" w:cstheme="minorHAnsi"/>
          <w:lang w:eastAsia="cs-CZ"/>
        </w:rPr>
        <w:t xml:space="preserve">zahájila </w:t>
      </w:r>
      <w:r w:rsidRPr="004574F9">
        <w:rPr>
          <w:rFonts w:eastAsia="Times New Roman" w:cstheme="minorHAnsi"/>
          <w:lang w:eastAsia="cs-CZ"/>
        </w:rPr>
        <w:t xml:space="preserve">v roce </w:t>
      </w:r>
      <w:r w:rsidRPr="009B5EC9">
        <w:rPr>
          <w:rFonts w:eastAsia="Times New Roman" w:cstheme="minorHAnsi"/>
          <w:lang w:eastAsia="cs-CZ"/>
        </w:rPr>
        <w:t>2011</w:t>
      </w:r>
      <w:r>
        <w:rPr>
          <w:rFonts w:eastAsia="Times New Roman" w:cstheme="minorHAnsi"/>
          <w:lang w:eastAsia="cs-CZ"/>
        </w:rPr>
        <w:t xml:space="preserve"> </w:t>
      </w:r>
      <w:r w:rsidRPr="004574F9">
        <w:rPr>
          <w:rFonts w:eastAsia="Times New Roman" w:cstheme="minorHAnsi"/>
          <w:lang w:eastAsia="cs-CZ"/>
        </w:rPr>
        <w:t>sestupn</w:t>
      </w:r>
      <w:r>
        <w:rPr>
          <w:rFonts w:eastAsia="Times New Roman" w:cstheme="minorHAnsi"/>
          <w:lang w:eastAsia="cs-CZ"/>
        </w:rPr>
        <w:t>ou</w:t>
      </w:r>
      <w:r w:rsidRPr="004574F9">
        <w:rPr>
          <w:rFonts w:eastAsia="Times New Roman" w:cstheme="minorHAnsi"/>
          <w:lang w:eastAsia="cs-CZ"/>
        </w:rPr>
        <w:t xml:space="preserve"> tendenc</w:t>
      </w:r>
      <w:r>
        <w:rPr>
          <w:rFonts w:eastAsia="Times New Roman" w:cstheme="minorHAnsi"/>
          <w:lang w:eastAsia="cs-CZ"/>
        </w:rPr>
        <w:t xml:space="preserve">i a příčinou útlumu hospodářství byly zejména </w:t>
      </w:r>
      <w:r w:rsidRPr="007B5BD7">
        <w:rPr>
          <w:rFonts w:eastAsia="Times New Roman" w:cstheme="minorHAnsi"/>
          <w:lang w:eastAsia="cs-CZ"/>
        </w:rPr>
        <w:t>domácí podmínky</w:t>
      </w:r>
      <w:r w:rsidR="007B5BD7" w:rsidRPr="007B5BD7">
        <w:rPr>
          <w:rFonts w:eastAsia="Times New Roman" w:cstheme="minorHAnsi"/>
          <w:lang w:eastAsia="cs-CZ"/>
        </w:rPr>
        <w:t xml:space="preserve"> (saldo zahraničního obchodu zůstávalo kladn</w:t>
      </w:r>
      <w:r w:rsidR="007B5BD7">
        <w:rPr>
          <w:rFonts w:eastAsia="Times New Roman" w:cstheme="minorHAnsi"/>
          <w:lang w:eastAsia="cs-CZ"/>
        </w:rPr>
        <w:t>é</w:t>
      </w:r>
      <w:r w:rsidR="007B5BD7" w:rsidRPr="007B5BD7">
        <w:rPr>
          <w:rFonts w:eastAsia="Times New Roman" w:cstheme="minorHAnsi"/>
          <w:lang w:eastAsia="cs-CZ"/>
        </w:rPr>
        <w:t>, ale poklesla jak domácí spotřeba, tak investice do hrubého fixního kapitálu)</w:t>
      </w:r>
      <w:r w:rsidRPr="007B5BD7">
        <w:rPr>
          <w:rFonts w:eastAsia="Times New Roman" w:cstheme="minorHAnsi"/>
          <w:lang w:eastAsia="cs-CZ"/>
        </w:rPr>
        <w:t>.</w:t>
      </w:r>
      <w:r w:rsidRPr="004574F9">
        <w:rPr>
          <w:rFonts w:eastAsia="Times New Roman" w:cstheme="minorHAnsi"/>
          <w:lang w:eastAsia="cs-CZ"/>
        </w:rPr>
        <w:t xml:space="preserve"> Dynamika reálné výkonnosti odvětví </w:t>
      </w:r>
      <w:r w:rsidRPr="004574F9">
        <w:rPr>
          <w:rFonts w:eastAsia="Times New Roman" w:cstheme="minorHAnsi"/>
          <w:lang w:eastAsia="cs-CZ"/>
        </w:rPr>
        <w:lastRenderedPageBreak/>
        <w:t xml:space="preserve">české ekonomiky se v roce 2011 </w:t>
      </w:r>
      <w:r>
        <w:rPr>
          <w:rFonts w:eastAsia="Times New Roman" w:cstheme="minorHAnsi"/>
          <w:lang w:eastAsia="cs-CZ"/>
        </w:rPr>
        <w:t xml:space="preserve">postupně snižovala a meziroční </w:t>
      </w:r>
      <w:r w:rsidRPr="00544ABD">
        <w:rPr>
          <w:rFonts w:eastAsia="Times New Roman" w:cstheme="minorHAnsi"/>
          <w:lang w:eastAsia="cs-CZ"/>
        </w:rPr>
        <w:t>přírůst</w:t>
      </w:r>
      <w:r w:rsidRPr="004574F9">
        <w:rPr>
          <w:rFonts w:eastAsia="Times New Roman" w:cstheme="minorHAnsi"/>
          <w:lang w:eastAsia="cs-CZ"/>
        </w:rPr>
        <w:t>k</w:t>
      </w:r>
      <w:r w:rsidRPr="00544ABD">
        <w:rPr>
          <w:rFonts w:eastAsia="Times New Roman" w:cstheme="minorHAnsi"/>
          <w:lang w:eastAsia="cs-CZ"/>
        </w:rPr>
        <w:t xml:space="preserve">y </w:t>
      </w:r>
      <w:r w:rsidR="000F46AA">
        <w:rPr>
          <w:rFonts w:eastAsia="Times New Roman" w:cstheme="minorHAnsi"/>
          <w:lang w:eastAsia="cs-CZ"/>
        </w:rPr>
        <w:t>hrubé přidané hodnoty (HPH)</w:t>
      </w:r>
      <w:r w:rsidRPr="004574F9">
        <w:rPr>
          <w:rFonts w:eastAsia="Times New Roman" w:cstheme="minorHAnsi"/>
          <w:lang w:eastAsia="cs-CZ"/>
        </w:rPr>
        <w:t xml:space="preserve"> </w:t>
      </w:r>
      <w:r>
        <w:rPr>
          <w:rFonts w:eastAsia="Times New Roman" w:cstheme="minorHAnsi"/>
          <w:lang w:eastAsia="cs-CZ"/>
        </w:rPr>
        <w:t xml:space="preserve">začaly tendovat ke stagnaci. </w:t>
      </w:r>
    </w:p>
    <w:p w14:paraId="210EB3A8" w14:textId="77777777" w:rsidR="009C6C55" w:rsidRDefault="009C6C55" w:rsidP="008C5CED">
      <w:pPr>
        <w:rPr>
          <w:rFonts w:eastAsia="Times New Roman" w:cstheme="minorHAnsi"/>
          <w:lang w:eastAsia="cs-CZ"/>
        </w:rPr>
      </w:pPr>
      <w:r w:rsidRPr="004574F9">
        <w:rPr>
          <w:rFonts w:eastAsia="Times New Roman" w:cstheme="minorHAnsi"/>
          <w:lang w:eastAsia="cs-CZ"/>
        </w:rPr>
        <w:t>V</w:t>
      </w:r>
      <w:r>
        <w:rPr>
          <w:rFonts w:eastAsia="Times New Roman" w:cstheme="minorHAnsi"/>
          <w:lang w:eastAsia="cs-CZ"/>
        </w:rPr>
        <w:t xml:space="preserve"> </w:t>
      </w:r>
      <w:r w:rsidRPr="004574F9">
        <w:rPr>
          <w:rFonts w:eastAsia="Times New Roman" w:cstheme="minorHAnsi"/>
          <w:lang w:eastAsia="cs-CZ"/>
        </w:rPr>
        <w:t>ro</w:t>
      </w:r>
      <w:r>
        <w:rPr>
          <w:rFonts w:eastAsia="Times New Roman" w:cstheme="minorHAnsi"/>
          <w:lang w:eastAsia="cs-CZ"/>
        </w:rPr>
        <w:t>ce</w:t>
      </w:r>
      <w:r w:rsidRPr="004574F9">
        <w:rPr>
          <w:rFonts w:eastAsia="Times New Roman" w:cstheme="minorHAnsi"/>
          <w:lang w:eastAsia="cs-CZ"/>
        </w:rPr>
        <w:t xml:space="preserve"> </w:t>
      </w:r>
      <w:r w:rsidRPr="009B5EC9">
        <w:rPr>
          <w:rFonts w:eastAsia="Times New Roman" w:cstheme="minorHAnsi"/>
          <w:lang w:eastAsia="cs-CZ"/>
        </w:rPr>
        <w:t>2012</w:t>
      </w:r>
      <w:r>
        <w:rPr>
          <w:rFonts w:eastAsia="Times New Roman" w:cstheme="minorHAnsi"/>
          <w:lang w:eastAsia="cs-CZ"/>
        </w:rPr>
        <w:t xml:space="preserve"> se</w:t>
      </w:r>
      <w:r w:rsidRPr="004574F9">
        <w:rPr>
          <w:rFonts w:eastAsia="Times New Roman" w:cstheme="minorHAnsi"/>
          <w:lang w:eastAsia="cs-CZ"/>
        </w:rPr>
        <w:t xml:space="preserve"> pokles české ekonomiky</w:t>
      </w:r>
      <w:r>
        <w:rPr>
          <w:rFonts w:eastAsia="Times New Roman" w:cstheme="minorHAnsi"/>
          <w:lang w:eastAsia="cs-CZ"/>
        </w:rPr>
        <w:t xml:space="preserve"> projevil naplno. </w:t>
      </w:r>
      <w:r w:rsidRPr="004574F9">
        <w:rPr>
          <w:rFonts w:eastAsia="Times New Roman" w:cstheme="minorHAnsi"/>
          <w:lang w:eastAsia="cs-CZ"/>
        </w:rPr>
        <w:t xml:space="preserve">Rok 2012 tak byl pro ekonomiku ČR </w:t>
      </w:r>
      <w:r>
        <w:rPr>
          <w:rFonts w:eastAsia="Times New Roman" w:cstheme="minorHAnsi"/>
          <w:lang w:eastAsia="cs-CZ"/>
        </w:rPr>
        <w:t xml:space="preserve">prvním </w:t>
      </w:r>
      <w:r w:rsidRPr="004574F9">
        <w:rPr>
          <w:rFonts w:eastAsia="Times New Roman" w:cstheme="minorHAnsi"/>
          <w:lang w:eastAsia="cs-CZ"/>
        </w:rPr>
        <w:t xml:space="preserve">rokem recese, HDP klesl o </w:t>
      </w:r>
      <w:r>
        <w:rPr>
          <w:rFonts w:eastAsia="Times New Roman" w:cstheme="minorHAnsi"/>
          <w:lang w:eastAsia="cs-CZ"/>
        </w:rPr>
        <w:t>0</w:t>
      </w:r>
      <w:r w:rsidRPr="004574F9">
        <w:rPr>
          <w:rFonts w:eastAsia="Times New Roman" w:cstheme="minorHAnsi"/>
          <w:lang w:eastAsia="cs-CZ"/>
        </w:rPr>
        <w:t>,</w:t>
      </w:r>
      <w:r>
        <w:rPr>
          <w:rFonts w:eastAsia="Times New Roman" w:cstheme="minorHAnsi"/>
          <w:lang w:eastAsia="cs-CZ"/>
        </w:rPr>
        <w:t>7</w:t>
      </w:r>
      <w:r w:rsidRPr="004574F9">
        <w:rPr>
          <w:rFonts w:eastAsia="Times New Roman" w:cstheme="minorHAnsi"/>
          <w:lang w:eastAsia="cs-CZ"/>
        </w:rPr>
        <w:t xml:space="preserve"> %. Hrubá přidaná hodnota v</w:t>
      </w:r>
      <w:r>
        <w:rPr>
          <w:rFonts w:eastAsia="Times New Roman" w:cstheme="minorHAnsi"/>
          <w:lang w:eastAsia="cs-CZ"/>
        </w:rPr>
        <w:t xml:space="preserve"> </w:t>
      </w:r>
      <w:r w:rsidRPr="004574F9">
        <w:rPr>
          <w:rFonts w:eastAsia="Times New Roman" w:cstheme="minorHAnsi"/>
          <w:lang w:eastAsia="cs-CZ"/>
        </w:rPr>
        <w:t xml:space="preserve">odvětvích klesla o </w:t>
      </w:r>
      <w:r>
        <w:rPr>
          <w:rFonts w:eastAsia="Times New Roman" w:cstheme="minorHAnsi"/>
          <w:lang w:eastAsia="cs-CZ"/>
        </w:rPr>
        <w:t>0</w:t>
      </w:r>
      <w:r w:rsidRPr="004574F9">
        <w:rPr>
          <w:rFonts w:eastAsia="Times New Roman" w:cstheme="minorHAnsi"/>
          <w:lang w:eastAsia="cs-CZ"/>
        </w:rPr>
        <w:t>,</w:t>
      </w:r>
      <w:r>
        <w:rPr>
          <w:rFonts w:eastAsia="Times New Roman" w:cstheme="minorHAnsi"/>
          <w:lang w:eastAsia="cs-CZ"/>
        </w:rPr>
        <w:t>8</w:t>
      </w:r>
      <w:r w:rsidRPr="004574F9">
        <w:rPr>
          <w:rFonts w:eastAsia="Times New Roman" w:cstheme="minorHAnsi"/>
          <w:lang w:eastAsia="cs-CZ"/>
        </w:rPr>
        <w:t xml:space="preserve"> %. </w:t>
      </w:r>
      <w:r>
        <w:rPr>
          <w:rFonts w:eastAsia="Times New Roman" w:cstheme="minorHAnsi"/>
          <w:lang w:eastAsia="cs-CZ"/>
        </w:rPr>
        <w:t xml:space="preserve">Klesala spotřeba i tvorba hrubého fixního kapitálu. Jediným pozitivním faktorem byla kladná obchodní bilance. </w:t>
      </w:r>
    </w:p>
    <w:p w14:paraId="4C0EF25F" w14:textId="77777777" w:rsidR="009C6C55" w:rsidRDefault="009C6C55" w:rsidP="008C5CED">
      <w:pPr>
        <w:rPr>
          <w:rFonts w:eastAsia="Times New Roman" w:cstheme="minorHAnsi"/>
          <w:lang w:eastAsia="cs-CZ"/>
        </w:rPr>
      </w:pPr>
      <w:r w:rsidRPr="004574F9">
        <w:rPr>
          <w:rFonts w:eastAsia="Times New Roman" w:cstheme="minorHAnsi"/>
          <w:lang w:eastAsia="cs-CZ"/>
        </w:rPr>
        <w:t xml:space="preserve">Rok </w:t>
      </w:r>
      <w:r w:rsidRPr="009B5EC9">
        <w:rPr>
          <w:rFonts w:eastAsia="Times New Roman" w:cstheme="minorHAnsi"/>
          <w:lang w:eastAsia="cs-CZ"/>
        </w:rPr>
        <w:t>2013</w:t>
      </w:r>
      <w:r>
        <w:rPr>
          <w:rFonts w:eastAsia="Times New Roman" w:cstheme="minorHAnsi"/>
          <w:lang w:eastAsia="cs-CZ"/>
        </w:rPr>
        <w:t xml:space="preserve"> byl rokem pokračující recese s </w:t>
      </w:r>
      <w:r w:rsidRPr="004574F9">
        <w:rPr>
          <w:rFonts w:eastAsia="Times New Roman" w:cstheme="minorHAnsi"/>
          <w:lang w:eastAsia="cs-CZ"/>
        </w:rPr>
        <w:t>meziroční</w:t>
      </w:r>
      <w:r>
        <w:rPr>
          <w:rFonts w:eastAsia="Times New Roman" w:cstheme="minorHAnsi"/>
          <w:lang w:eastAsia="cs-CZ"/>
        </w:rPr>
        <w:t>m</w:t>
      </w:r>
      <w:r w:rsidRPr="004574F9">
        <w:rPr>
          <w:rFonts w:eastAsia="Times New Roman" w:cstheme="minorHAnsi"/>
          <w:lang w:eastAsia="cs-CZ"/>
        </w:rPr>
        <w:t xml:space="preserve"> pokles</w:t>
      </w:r>
      <w:r>
        <w:rPr>
          <w:rFonts w:eastAsia="Times New Roman" w:cstheme="minorHAnsi"/>
          <w:lang w:eastAsia="cs-CZ"/>
        </w:rPr>
        <w:t>em</w:t>
      </w:r>
      <w:r w:rsidRPr="004574F9">
        <w:rPr>
          <w:rFonts w:eastAsia="Times New Roman" w:cstheme="minorHAnsi"/>
          <w:lang w:eastAsia="cs-CZ"/>
        </w:rPr>
        <w:t xml:space="preserve"> HDP o 0,</w:t>
      </w:r>
      <w:r>
        <w:rPr>
          <w:rFonts w:eastAsia="Times New Roman" w:cstheme="minorHAnsi"/>
          <w:lang w:eastAsia="cs-CZ"/>
        </w:rPr>
        <w:t>5</w:t>
      </w:r>
      <w:r w:rsidRPr="004574F9">
        <w:rPr>
          <w:rFonts w:eastAsia="Times New Roman" w:cstheme="minorHAnsi"/>
          <w:lang w:eastAsia="cs-CZ"/>
        </w:rPr>
        <w:t xml:space="preserve"> %</w:t>
      </w:r>
      <w:r>
        <w:rPr>
          <w:rFonts w:eastAsia="Times New Roman" w:cstheme="minorHAnsi"/>
          <w:lang w:eastAsia="cs-CZ"/>
        </w:rPr>
        <w:t>. Mírně pozitivně se sice projevila spotřeba, avšak pokles investic pokračoval.</w:t>
      </w:r>
      <w:r w:rsidRPr="004574F9">
        <w:rPr>
          <w:rFonts w:eastAsia="Times New Roman" w:cstheme="minorHAnsi"/>
          <w:lang w:eastAsia="cs-CZ"/>
        </w:rPr>
        <w:t xml:space="preserve"> </w:t>
      </w:r>
      <w:r>
        <w:rPr>
          <w:rFonts w:eastAsia="Times New Roman" w:cstheme="minorHAnsi"/>
          <w:lang w:eastAsia="cs-CZ"/>
        </w:rPr>
        <w:t xml:space="preserve">Zahraniční obchod prakticky stagnoval. </w:t>
      </w:r>
      <w:r w:rsidRPr="004574F9">
        <w:rPr>
          <w:rFonts w:eastAsia="Times New Roman" w:cstheme="minorHAnsi"/>
          <w:lang w:eastAsia="cs-CZ"/>
        </w:rPr>
        <w:t xml:space="preserve">Během roku se </w:t>
      </w:r>
      <w:r>
        <w:rPr>
          <w:rFonts w:eastAsia="Times New Roman" w:cstheme="minorHAnsi"/>
          <w:lang w:eastAsia="cs-CZ"/>
        </w:rPr>
        <w:t xml:space="preserve">však </w:t>
      </w:r>
      <w:r w:rsidRPr="004574F9">
        <w:rPr>
          <w:rFonts w:eastAsia="Times New Roman" w:cstheme="minorHAnsi"/>
          <w:lang w:eastAsia="cs-CZ"/>
        </w:rPr>
        <w:t>výkonnost ekonomiky postupně zlepšovala</w:t>
      </w:r>
      <w:r>
        <w:rPr>
          <w:rFonts w:eastAsia="Times New Roman" w:cstheme="minorHAnsi"/>
          <w:lang w:eastAsia="cs-CZ"/>
        </w:rPr>
        <w:t>, avšak hrubá př</w:t>
      </w:r>
      <w:r w:rsidR="00E4110D">
        <w:rPr>
          <w:rFonts w:eastAsia="Times New Roman" w:cstheme="minorHAnsi"/>
          <w:lang w:eastAsia="cs-CZ"/>
        </w:rPr>
        <w:t>i</w:t>
      </w:r>
      <w:r>
        <w:rPr>
          <w:rFonts w:eastAsia="Times New Roman" w:cstheme="minorHAnsi"/>
          <w:lang w:eastAsia="cs-CZ"/>
        </w:rPr>
        <w:t>daná hodnota přesto poklesla o 0,5 %</w:t>
      </w:r>
      <w:r w:rsidRPr="004574F9">
        <w:rPr>
          <w:rFonts w:eastAsia="Times New Roman" w:cstheme="minorHAnsi"/>
          <w:lang w:eastAsia="cs-CZ"/>
        </w:rPr>
        <w:t xml:space="preserve">. </w:t>
      </w:r>
      <w:r>
        <w:rPr>
          <w:rFonts w:eastAsia="Times New Roman" w:cstheme="minorHAnsi"/>
          <w:lang w:eastAsia="cs-CZ"/>
        </w:rPr>
        <w:t>Pozitivním signálem byl v</w:t>
      </w:r>
      <w:r w:rsidRPr="004574F9">
        <w:rPr>
          <w:rFonts w:eastAsia="Times New Roman" w:cstheme="minorHAnsi"/>
          <w:lang w:eastAsia="cs-CZ"/>
        </w:rPr>
        <w:t>ykázaný meziroční růst českého HDP ve 4. čtvrtletí (+1,3 %)</w:t>
      </w:r>
      <w:r>
        <w:rPr>
          <w:rFonts w:eastAsia="Times New Roman" w:cstheme="minorHAnsi"/>
          <w:lang w:eastAsia="cs-CZ"/>
        </w:rPr>
        <w:t xml:space="preserve">, který byl </w:t>
      </w:r>
      <w:r w:rsidRPr="004574F9">
        <w:rPr>
          <w:rFonts w:eastAsia="Times New Roman" w:cstheme="minorHAnsi"/>
          <w:lang w:eastAsia="cs-CZ"/>
        </w:rPr>
        <w:t>vyšší</w:t>
      </w:r>
      <w:r>
        <w:rPr>
          <w:rFonts w:eastAsia="Times New Roman" w:cstheme="minorHAnsi"/>
          <w:lang w:eastAsia="cs-CZ"/>
        </w:rPr>
        <w:t xml:space="preserve"> </w:t>
      </w:r>
      <w:r w:rsidRPr="004574F9">
        <w:rPr>
          <w:rFonts w:eastAsia="Times New Roman" w:cstheme="minorHAnsi"/>
          <w:lang w:eastAsia="cs-CZ"/>
        </w:rPr>
        <w:t>než v</w:t>
      </w:r>
      <w:r>
        <w:rPr>
          <w:rFonts w:eastAsia="Times New Roman" w:cstheme="minorHAnsi"/>
          <w:lang w:eastAsia="cs-CZ"/>
        </w:rPr>
        <w:t xml:space="preserve"> celku </w:t>
      </w:r>
      <w:r w:rsidRPr="004574F9">
        <w:rPr>
          <w:rFonts w:eastAsia="Times New Roman" w:cstheme="minorHAnsi"/>
          <w:lang w:eastAsia="cs-CZ"/>
        </w:rPr>
        <w:t xml:space="preserve">EU (+ 1,1 %). </w:t>
      </w:r>
    </w:p>
    <w:p w14:paraId="74750525" w14:textId="77777777" w:rsidR="009C6C55" w:rsidRDefault="009C6C55" w:rsidP="008C5CED">
      <w:pPr>
        <w:rPr>
          <w:rFonts w:eastAsia="Times New Roman" w:cstheme="minorHAnsi"/>
          <w:lang w:eastAsia="cs-CZ"/>
        </w:rPr>
      </w:pPr>
      <w:r w:rsidRPr="004574F9">
        <w:rPr>
          <w:rFonts w:eastAsia="Times New Roman" w:cstheme="minorHAnsi"/>
          <w:lang w:eastAsia="cs-CZ"/>
        </w:rPr>
        <w:t>Oživení ekonomiky pokračovalo i v</w:t>
      </w:r>
      <w:r>
        <w:rPr>
          <w:rFonts w:eastAsia="Times New Roman" w:cstheme="minorHAnsi"/>
          <w:lang w:eastAsia="cs-CZ"/>
        </w:rPr>
        <w:t xml:space="preserve"> </w:t>
      </w:r>
      <w:r w:rsidRPr="004574F9">
        <w:rPr>
          <w:rFonts w:eastAsia="Times New Roman" w:cstheme="minorHAnsi"/>
          <w:lang w:eastAsia="cs-CZ"/>
        </w:rPr>
        <w:t xml:space="preserve">roce </w:t>
      </w:r>
      <w:r w:rsidRPr="009B5EC9">
        <w:rPr>
          <w:rFonts w:eastAsia="Times New Roman" w:cstheme="minorHAnsi"/>
          <w:lang w:eastAsia="cs-CZ"/>
        </w:rPr>
        <w:t>2014</w:t>
      </w:r>
      <w:r>
        <w:rPr>
          <w:rFonts w:eastAsia="Times New Roman" w:cstheme="minorHAnsi"/>
          <w:lang w:eastAsia="cs-CZ"/>
        </w:rPr>
        <w:t xml:space="preserve"> a </w:t>
      </w:r>
      <w:r w:rsidRPr="004574F9">
        <w:rPr>
          <w:rFonts w:eastAsia="Times New Roman" w:cstheme="minorHAnsi"/>
          <w:lang w:eastAsia="cs-CZ"/>
        </w:rPr>
        <w:t xml:space="preserve">HDP </w:t>
      </w:r>
      <w:r w:rsidR="00E4110D">
        <w:rPr>
          <w:rFonts w:eastAsia="Times New Roman" w:cstheme="minorHAnsi"/>
          <w:lang w:eastAsia="cs-CZ"/>
        </w:rPr>
        <w:t xml:space="preserve">se </w:t>
      </w:r>
      <w:r w:rsidRPr="004574F9">
        <w:rPr>
          <w:rFonts w:eastAsia="Times New Roman" w:cstheme="minorHAnsi"/>
          <w:lang w:eastAsia="cs-CZ"/>
        </w:rPr>
        <w:t>zvýšil o 2</w:t>
      </w:r>
      <w:r>
        <w:rPr>
          <w:rFonts w:eastAsia="Times New Roman" w:cstheme="minorHAnsi"/>
          <w:lang w:eastAsia="cs-CZ"/>
        </w:rPr>
        <w:t>,7</w:t>
      </w:r>
      <w:r w:rsidRPr="004574F9">
        <w:rPr>
          <w:rFonts w:eastAsia="Times New Roman" w:cstheme="minorHAnsi"/>
          <w:lang w:eastAsia="cs-CZ"/>
        </w:rPr>
        <w:t xml:space="preserve"> %, hrubá přidaná hodnota </w:t>
      </w:r>
      <w:r>
        <w:rPr>
          <w:rFonts w:eastAsia="Times New Roman" w:cstheme="minorHAnsi"/>
          <w:lang w:eastAsia="cs-CZ"/>
        </w:rPr>
        <w:t xml:space="preserve">pak </w:t>
      </w:r>
      <w:r w:rsidRPr="004574F9">
        <w:rPr>
          <w:rFonts w:eastAsia="Times New Roman" w:cstheme="minorHAnsi"/>
          <w:lang w:eastAsia="cs-CZ"/>
        </w:rPr>
        <w:t xml:space="preserve">vzrostla o </w:t>
      </w:r>
      <w:r>
        <w:rPr>
          <w:rFonts w:eastAsia="Times New Roman" w:cstheme="minorHAnsi"/>
          <w:lang w:eastAsia="cs-CZ"/>
        </w:rPr>
        <w:t>3,4</w:t>
      </w:r>
      <w:r w:rsidRPr="004574F9">
        <w:rPr>
          <w:rFonts w:eastAsia="Times New Roman" w:cstheme="minorHAnsi"/>
          <w:lang w:eastAsia="cs-CZ"/>
        </w:rPr>
        <w:t xml:space="preserve"> %. Největším dílem k</w:t>
      </w:r>
      <w:r>
        <w:rPr>
          <w:rFonts w:eastAsia="Times New Roman" w:cstheme="minorHAnsi"/>
          <w:lang w:eastAsia="cs-CZ"/>
        </w:rPr>
        <w:t xml:space="preserve"> </w:t>
      </w:r>
      <w:r w:rsidRPr="004574F9">
        <w:rPr>
          <w:rFonts w:eastAsia="Times New Roman" w:cstheme="minorHAnsi"/>
          <w:lang w:eastAsia="cs-CZ"/>
        </w:rPr>
        <w:t>tomu přispěl zpracovatelský průmysl orientovaný silně na zahraniční poptávku</w:t>
      </w:r>
      <w:r>
        <w:rPr>
          <w:rFonts w:eastAsia="Times New Roman" w:cstheme="minorHAnsi"/>
          <w:lang w:eastAsia="cs-CZ"/>
        </w:rPr>
        <w:t>, což se projevilo v růstu zahraničněobchodního salda o cca 6 %</w:t>
      </w:r>
      <w:r w:rsidRPr="004574F9">
        <w:rPr>
          <w:rFonts w:eastAsia="Times New Roman" w:cstheme="minorHAnsi"/>
          <w:lang w:eastAsia="cs-CZ"/>
        </w:rPr>
        <w:t>.</w:t>
      </w:r>
      <w:r>
        <w:rPr>
          <w:rFonts w:eastAsia="Times New Roman" w:cstheme="minorHAnsi"/>
          <w:lang w:eastAsia="cs-CZ"/>
        </w:rPr>
        <w:t xml:space="preserve"> Razantně se také začaly zvyšovat investice a rostla i spotřeba.</w:t>
      </w:r>
    </w:p>
    <w:p w14:paraId="48534617" w14:textId="77777777" w:rsidR="009C6C55" w:rsidRDefault="009C6C55" w:rsidP="008C5CED">
      <w:pPr>
        <w:rPr>
          <w:rFonts w:eastAsia="Times New Roman" w:cstheme="minorHAnsi"/>
          <w:lang w:eastAsia="cs-CZ"/>
        </w:rPr>
      </w:pPr>
      <w:r>
        <w:rPr>
          <w:rFonts w:eastAsia="Times New Roman" w:cstheme="minorHAnsi"/>
          <w:lang w:eastAsia="cs-CZ"/>
        </w:rPr>
        <w:t xml:space="preserve">Pozitivní trend se potvrdil i v roce </w:t>
      </w:r>
      <w:r w:rsidRPr="009B5EC9">
        <w:rPr>
          <w:rFonts w:eastAsia="Times New Roman" w:cstheme="minorHAnsi"/>
          <w:lang w:eastAsia="cs-CZ"/>
        </w:rPr>
        <w:t>2015</w:t>
      </w:r>
      <w:r>
        <w:rPr>
          <w:rFonts w:eastAsia="Times New Roman" w:cstheme="minorHAnsi"/>
          <w:lang w:eastAsia="cs-CZ"/>
        </w:rPr>
        <w:t xml:space="preserve">, kdy ekonomika rostla </w:t>
      </w:r>
      <w:r w:rsidRPr="004574F9">
        <w:rPr>
          <w:rFonts w:eastAsia="Times New Roman" w:cstheme="minorHAnsi"/>
          <w:lang w:eastAsia="cs-CZ"/>
        </w:rPr>
        <w:t>v</w:t>
      </w:r>
      <w:r>
        <w:rPr>
          <w:rFonts w:eastAsia="Times New Roman" w:cstheme="minorHAnsi"/>
          <w:lang w:eastAsia="cs-CZ"/>
        </w:rPr>
        <w:t xml:space="preserve"> </w:t>
      </w:r>
      <w:r w:rsidRPr="004574F9">
        <w:rPr>
          <w:rFonts w:eastAsia="Times New Roman" w:cstheme="minorHAnsi"/>
          <w:lang w:eastAsia="cs-CZ"/>
        </w:rPr>
        <w:t>porovnání s</w:t>
      </w:r>
      <w:r>
        <w:rPr>
          <w:rFonts w:eastAsia="Times New Roman" w:cstheme="minorHAnsi"/>
          <w:lang w:eastAsia="cs-CZ"/>
        </w:rPr>
        <w:t xml:space="preserve"> </w:t>
      </w:r>
      <w:r w:rsidRPr="004574F9">
        <w:rPr>
          <w:rFonts w:eastAsia="Times New Roman" w:cstheme="minorHAnsi"/>
          <w:lang w:eastAsia="cs-CZ"/>
        </w:rPr>
        <w:t>E</w:t>
      </w:r>
      <w:r w:rsidR="00E4110D">
        <w:rPr>
          <w:rFonts w:eastAsia="Times New Roman" w:cstheme="minorHAnsi"/>
          <w:lang w:eastAsia="cs-CZ"/>
        </w:rPr>
        <w:t>U</w:t>
      </w:r>
      <w:r w:rsidRPr="004574F9">
        <w:rPr>
          <w:rFonts w:eastAsia="Times New Roman" w:cstheme="minorHAnsi"/>
          <w:lang w:eastAsia="cs-CZ"/>
        </w:rPr>
        <w:t xml:space="preserve"> výjimečn</w:t>
      </w:r>
      <w:r>
        <w:rPr>
          <w:rFonts w:eastAsia="Times New Roman" w:cstheme="minorHAnsi"/>
          <w:lang w:eastAsia="cs-CZ"/>
        </w:rPr>
        <w:t>ě</w:t>
      </w:r>
      <w:r w:rsidRPr="004574F9">
        <w:rPr>
          <w:rFonts w:eastAsia="Times New Roman" w:cstheme="minorHAnsi"/>
          <w:lang w:eastAsia="cs-CZ"/>
        </w:rPr>
        <w:t xml:space="preserve"> </w:t>
      </w:r>
      <w:r w:rsidR="00E4110D">
        <w:rPr>
          <w:rFonts w:eastAsia="Times New Roman" w:cstheme="minorHAnsi"/>
          <w:lang w:eastAsia="cs-CZ"/>
        </w:rPr>
        <w:t xml:space="preserve">rychle. </w:t>
      </w:r>
      <w:r>
        <w:rPr>
          <w:rFonts w:eastAsia="Times New Roman" w:cstheme="minorHAnsi"/>
          <w:lang w:eastAsia="cs-CZ"/>
        </w:rPr>
        <w:t xml:space="preserve">Vnější podmínky, spolu </w:t>
      </w:r>
      <w:r w:rsidRPr="004574F9">
        <w:rPr>
          <w:rFonts w:eastAsia="Times New Roman" w:cstheme="minorHAnsi"/>
          <w:lang w:eastAsia="cs-CZ"/>
        </w:rPr>
        <w:t>s</w:t>
      </w:r>
      <w:r>
        <w:rPr>
          <w:rFonts w:eastAsia="Times New Roman" w:cstheme="minorHAnsi"/>
          <w:lang w:eastAsia="cs-CZ"/>
        </w:rPr>
        <w:t xml:space="preserve"> </w:t>
      </w:r>
      <w:r w:rsidRPr="004574F9">
        <w:rPr>
          <w:rFonts w:eastAsia="Times New Roman" w:cstheme="minorHAnsi"/>
          <w:lang w:eastAsia="cs-CZ"/>
        </w:rPr>
        <w:t>uvolněnou měnovou a fiskální politikou</w:t>
      </w:r>
      <w:r>
        <w:rPr>
          <w:rFonts w:eastAsia="Times New Roman" w:cstheme="minorHAnsi"/>
          <w:lang w:eastAsia="cs-CZ"/>
        </w:rPr>
        <w:t>,</w:t>
      </w:r>
      <w:r w:rsidRPr="004574F9">
        <w:rPr>
          <w:rFonts w:eastAsia="Times New Roman" w:cstheme="minorHAnsi"/>
          <w:lang w:eastAsia="cs-CZ"/>
        </w:rPr>
        <w:t xml:space="preserve"> napomohly růstu HDP o </w:t>
      </w:r>
      <w:r>
        <w:rPr>
          <w:rFonts w:eastAsia="Times New Roman" w:cstheme="minorHAnsi"/>
          <w:lang w:eastAsia="cs-CZ"/>
        </w:rPr>
        <w:t>5</w:t>
      </w:r>
      <w:r w:rsidRPr="004574F9">
        <w:rPr>
          <w:rFonts w:eastAsia="Times New Roman" w:cstheme="minorHAnsi"/>
          <w:lang w:eastAsia="cs-CZ"/>
        </w:rPr>
        <w:t>,</w:t>
      </w:r>
      <w:r>
        <w:rPr>
          <w:rFonts w:eastAsia="Times New Roman" w:cstheme="minorHAnsi"/>
          <w:lang w:eastAsia="cs-CZ"/>
        </w:rPr>
        <w:t>4</w:t>
      </w:r>
      <w:r w:rsidRPr="004574F9">
        <w:rPr>
          <w:rFonts w:eastAsia="Times New Roman" w:cstheme="minorHAnsi"/>
          <w:lang w:eastAsia="cs-CZ"/>
        </w:rPr>
        <w:t xml:space="preserve"> %, </w:t>
      </w:r>
      <w:r>
        <w:rPr>
          <w:rFonts w:eastAsia="Times New Roman" w:cstheme="minorHAnsi"/>
          <w:lang w:eastAsia="cs-CZ"/>
        </w:rPr>
        <w:t xml:space="preserve">rostla spotřeba i </w:t>
      </w:r>
      <w:r w:rsidRPr="004574F9">
        <w:rPr>
          <w:rFonts w:eastAsia="Times New Roman" w:cstheme="minorHAnsi"/>
          <w:lang w:eastAsia="cs-CZ"/>
        </w:rPr>
        <w:t>tvorba hrubého fixního kapitálu. Souhrnná výkonnost odvětví podle hrubé přidané hodnoty se v</w:t>
      </w:r>
      <w:r>
        <w:rPr>
          <w:rFonts w:eastAsia="Times New Roman" w:cstheme="minorHAnsi"/>
          <w:lang w:eastAsia="cs-CZ"/>
        </w:rPr>
        <w:t xml:space="preserve"> </w:t>
      </w:r>
      <w:r w:rsidRPr="004574F9">
        <w:rPr>
          <w:rFonts w:eastAsia="Times New Roman" w:cstheme="minorHAnsi"/>
          <w:lang w:eastAsia="cs-CZ"/>
        </w:rPr>
        <w:t xml:space="preserve">roce 2015 zvýšila o </w:t>
      </w:r>
      <w:r>
        <w:rPr>
          <w:rFonts w:eastAsia="Times New Roman" w:cstheme="minorHAnsi"/>
          <w:lang w:eastAsia="cs-CZ"/>
        </w:rPr>
        <w:t>4,7</w:t>
      </w:r>
      <w:r w:rsidRPr="004574F9">
        <w:rPr>
          <w:rFonts w:eastAsia="Times New Roman" w:cstheme="minorHAnsi"/>
          <w:lang w:eastAsia="cs-CZ"/>
        </w:rPr>
        <w:t xml:space="preserve"> %. Růst ekonomiky zlepšoval </w:t>
      </w:r>
      <w:r>
        <w:rPr>
          <w:rFonts w:eastAsia="Times New Roman" w:cstheme="minorHAnsi"/>
          <w:lang w:eastAsia="cs-CZ"/>
        </w:rPr>
        <w:t xml:space="preserve">i </w:t>
      </w:r>
      <w:r w:rsidRPr="004574F9">
        <w:rPr>
          <w:rFonts w:eastAsia="Times New Roman" w:cstheme="minorHAnsi"/>
          <w:lang w:eastAsia="cs-CZ"/>
        </w:rPr>
        <w:t xml:space="preserve">situaci na trhu práce. </w:t>
      </w:r>
    </w:p>
    <w:p w14:paraId="3DB4BEB1" w14:textId="77777777" w:rsidR="009C6C55" w:rsidRDefault="009C6C55" w:rsidP="008C5CED">
      <w:pPr>
        <w:rPr>
          <w:rFonts w:eastAsia="Times New Roman" w:cstheme="minorHAnsi"/>
          <w:lang w:eastAsia="cs-CZ"/>
        </w:rPr>
      </w:pPr>
      <w:r>
        <w:rPr>
          <w:rFonts w:eastAsia="Times New Roman" w:cstheme="minorHAnsi"/>
          <w:lang w:eastAsia="cs-CZ"/>
        </w:rPr>
        <w:t xml:space="preserve">V roce </w:t>
      </w:r>
      <w:r w:rsidRPr="009B5EC9">
        <w:rPr>
          <w:rFonts w:eastAsia="Times New Roman" w:cstheme="minorHAnsi"/>
          <w:lang w:eastAsia="cs-CZ"/>
        </w:rPr>
        <w:t>2016</w:t>
      </w:r>
      <w:r>
        <w:rPr>
          <w:rFonts w:eastAsia="Times New Roman" w:cstheme="minorHAnsi"/>
          <w:lang w:eastAsia="cs-CZ"/>
        </w:rPr>
        <w:t xml:space="preserve"> se </w:t>
      </w:r>
      <w:r w:rsidRPr="004574F9">
        <w:rPr>
          <w:rFonts w:eastAsia="Times New Roman" w:cstheme="minorHAnsi"/>
          <w:lang w:eastAsia="cs-CZ"/>
        </w:rPr>
        <w:t>meziroční tempo ekonomického růstu zpomalilo</w:t>
      </w:r>
      <w:r>
        <w:rPr>
          <w:rFonts w:eastAsia="Times New Roman" w:cstheme="minorHAnsi"/>
          <w:lang w:eastAsia="cs-CZ"/>
        </w:rPr>
        <w:t xml:space="preserve">. </w:t>
      </w:r>
      <w:r w:rsidRPr="004574F9">
        <w:rPr>
          <w:rFonts w:eastAsia="Times New Roman" w:cstheme="minorHAnsi"/>
          <w:lang w:eastAsia="cs-CZ"/>
        </w:rPr>
        <w:t>Hrubý domácí produkt</w:t>
      </w:r>
      <w:r>
        <w:rPr>
          <w:rFonts w:eastAsia="Times New Roman" w:cstheme="minorHAnsi"/>
          <w:lang w:eastAsia="cs-CZ"/>
        </w:rPr>
        <w:t xml:space="preserve"> </w:t>
      </w:r>
      <w:r w:rsidRPr="004574F9">
        <w:rPr>
          <w:rFonts w:eastAsia="Times New Roman" w:cstheme="minorHAnsi"/>
          <w:lang w:eastAsia="cs-CZ"/>
        </w:rPr>
        <w:t xml:space="preserve">vzrostl </w:t>
      </w:r>
      <w:r>
        <w:rPr>
          <w:rFonts w:eastAsia="Times New Roman" w:cstheme="minorHAnsi"/>
          <w:lang w:eastAsia="cs-CZ"/>
        </w:rPr>
        <w:t xml:space="preserve">pouze </w:t>
      </w:r>
      <w:r w:rsidRPr="004574F9">
        <w:rPr>
          <w:rFonts w:eastAsia="Times New Roman" w:cstheme="minorHAnsi"/>
          <w:lang w:eastAsia="cs-CZ"/>
        </w:rPr>
        <w:t>o 2,</w:t>
      </w:r>
      <w:r>
        <w:rPr>
          <w:rFonts w:eastAsia="Times New Roman" w:cstheme="minorHAnsi"/>
          <w:lang w:eastAsia="cs-CZ"/>
        </w:rPr>
        <w:t>4</w:t>
      </w:r>
      <w:r w:rsidRPr="004574F9">
        <w:rPr>
          <w:rFonts w:eastAsia="Times New Roman" w:cstheme="minorHAnsi"/>
          <w:lang w:eastAsia="cs-CZ"/>
        </w:rPr>
        <w:t xml:space="preserve"> %</w:t>
      </w:r>
      <w:r>
        <w:rPr>
          <w:rFonts w:eastAsia="Times New Roman" w:cstheme="minorHAnsi"/>
          <w:lang w:eastAsia="cs-CZ"/>
        </w:rPr>
        <w:t xml:space="preserve"> v </w:t>
      </w:r>
      <w:r w:rsidRPr="004574F9">
        <w:rPr>
          <w:rFonts w:eastAsia="Times New Roman" w:cstheme="minorHAnsi"/>
          <w:lang w:eastAsia="cs-CZ"/>
        </w:rPr>
        <w:t>porovnání s</w:t>
      </w:r>
      <w:r>
        <w:rPr>
          <w:rFonts w:eastAsia="Times New Roman" w:cstheme="minorHAnsi"/>
          <w:lang w:eastAsia="cs-CZ"/>
        </w:rPr>
        <w:t xml:space="preserve"> </w:t>
      </w:r>
      <w:r w:rsidRPr="004574F9">
        <w:rPr>
          <w:rFonts w:eastAsia="Times New Roman" w:cstheme="minorHAnsi"/>
          <w:lang w:eastAsia="cs-CZ"/>
        </w:rPr>
        <w:t xml:space="preserve">předchozím rokem. </w:t>
      </w:r>
      <w:r>
        <w:rPr>
          <w:rFonts w:eastAsia="Times New Roman" w:cstheme="minorHAnsi"/>
          <w:lang w:eastAsia="cs-CZ"/>
        </w:rPr>
        <w:t>Zatím co spotřeba si udržovala dynamiku předchozího roku, investice do hrubého fixního kapitálu klesly. Také h</w:t>
      </w:r>
      <w:r w:rsidRPr="004574F9">
        <w:rPr>
          <w:rFonts w:eastAsia="Times New Roman" w:cstheme="minorHAnsi"/>
          <w:lang w:eastAsia="cs-CZ"/>
        </w:rPr>
        <w:t xml:space="preserve">rubá přidaná hodnota (HPH) </w:t>
      </w:r>
      <w:r>
        <w:rPr>
          <w:rFonts w:eastAsia="Times New Roman" w:cstheme="minorHAnsi"/>
          <w:lang w:eastAsia="cs-CZ"/>
        </w:rPr>
        <w:t xml:space="preserve">rostla </w:t>
      </w:r>
      <w:r w:rsidRPr="004574F9">
        <w:rPr>
          <w:rFonts w:eastAsia="Times New Roman" w:cstheme="minorHAnsi"/>
          <w:lang w:eastAsia="cs-CZ"/>
        </w:rPr>
        <w:t>v</w:t>
      </w:r>
      <w:r>
        <w:rPr>
          <w:rFonts w:eastAsia="Times New Roman" w:cstheme="minorHAnsi"/>
          <w:lang w:eastAsia="cs-CZ"/>
        </w:rPr>
        <w:t xml:space="preserve"> </w:t>
      </w:r>
      <w:r w:rsidRPr="004574F9">
        <w:rPr>
          <w:rFonts w:eastAsia="Times New Roman" w:cstheme="minorHAnsi"/>
          <w:lang w:eastAsia="cs-CZ"/>
        </w:rPr>
        <w:t xml:space="preserve">roce 2016 </w:t>
      </w:r>
      <w:r>
        <w:rPr>
          <w:rFonts w:eastAsia="Times New Roman" w:cstheme="minorHAnsi"/>
          <w:lang w:eastAsia="cs-CZ"/>
        </w:rPr>
        <w:t>méně než v předchozím roce (o</w:t>
      </w:r>
      <w:r w:rsidRPr="004574F9">
        <w:rPr>
          <w:rFonts w:eastAsia="Times New Roman" w:cstheme="minorHAnsi"/>
          <w:lang w:eastAsia="cs-CZ"/>
        </w:rPr>
        <w:t xml:space="preserve"> 2,</w:t>
      </w:r>
      <w:r>
        <w:rPr>
          <w:rFonts w:eastAsia="Times New Roman" w:cstheme="minorHAnsi"/>
          <w:lang w:eastAsia="cs-CZ"/>
        </w:rPr>
        <w:t>4</w:t>
      </w:r>
      <w:r w:rsidRPr="004574F9">
        <w:rPr>
          <w:rFonts w:eastAsia="Times New Roman" w:cstheme="minorHAnsi"/>
          <w:lang w:eastAsia="cs-CZ"/>
        </w:rPr>
        <w:t xml:space="preserve"> %</w:t>
      </w:r>
      <w:r>
        <w:rPr>
          <w:rFonts w:eastAsia="Times New Roman" w:cstheme="minorHAnsi"/>
          <w:lang w:eastAsia="cs-CZ"/>
        </w:rPr>
        <w:t>)</w:t>
      </w:r>
      <w:r w:rsidRPr="004574F9">
        <w:rPr>
          <w:rFonts w:eastAsia="Times New Roman" w:cstheme="minorHAnsi"/>
          <w:lang w:eastAsia="cs-CZ"/>
        </w:rPr>
        <w:t>. Nejvýrazněji se</w:t>
      </w:r>
      <w:r>
        <w:rPr>
          <w:rFonts w:eastAsia="Times New Roman" w:cstheme="minorHAnsi"/>
          <w:lang w:eastAsia="cs-CZ"/>
        </w:rPr>
        <w:t xml:space="preserve"> </w:t>
      </w:r>
      <w:r w:rsidRPr="004574F9">
        <w:rPr>
          <w:rFonts w:eastAsia="Times New Roman" w:cstheme="minorHAnsi"/>
          <w:lang w:eastAsia="cs-CZ"/>
        </w:rPr>
        <w:t>na růstu HPH projevil zpracovatelský průmysl, jehož význam pro růst HPH se prohloubil. Situace na trhu práce se v</w:t>
      </w:r>
      <w:r>
        <w:rPr>
          <w:rFonts w:eastAsia="Times New Roman" w:cstheme="minorHAnsi"/>
          <w:lang w:eastAsia="cs-CZ"/>
        </w:rPr>
        <w:t xml:space="preserve"> </w:t>
      </w:r>
      <w:r w:rsidRPr="004574F9">
        <w:rPr>
          <w:rFonts w:eastAsia="Times New Roman" w:cstheme="minorHAnsi"/>
          <w:lang w:eastAsia="cs-CZ"/>
        </w:rPr>
        <w:t>roce 2016 nadále zlepšovala</w:t>
      </w:r>
      <w:r>
        <w:rPr>
          <w:rFonts w:eastAsia="Times New Roman" w:cstheme="minorHAnsi"/>
          <w:lang w:eastAsia="cs-CZ"/>
        </w:rPr>
        <w:t>.</w:t>
      </w:r>
      <w:r w:rsidRPr="004574F9">
        <w:rPr>
          <w:rFonts w:eastAsia="Times New Roman" w:cstheme="minorHAnsi"/>
          <w:lang w:eastAsia="cs-CZ"/>
        </w:rPr>
        <w:t xml:space="preserve"> </w:t>
      </w:r>
    </w:p>
    <w:p w14:paraId="5A045A13" w14:textId="77777777" w:rsidR="009C6C55" w:rsidRDefault="009C6C55" w:rsidP="008C5CED">
      <w:pPr>
        <w:rPr>
          <w:rFonts w:eastAsia="Times New Roman" w:cstheme="minorHAnsi"/>
          <w:lang w:eastAsia="cs-CZ"/>
        </w:rPr>
      </w:pPr>
      <w:r w:rsidRPr="004574F9">
        <w:rPr>
          <w:rFonts w:eastAsia="Times New Roman" w:cstheme="minorHAnsi"/>
          <w:lang w:eastAsia="cs-CZ"/>
        </w:rPr>
        <w:t>Hrubá přidaná hodnota se v</w:t>
      </w:r>
      <w:r>
        <w:rPr>
          <w:rFonts w:eastAsia="Times New Roman" w:cstheme="minorHAnsi"/>
          <w:lang w:eastAsia="cs-CZ"/>
        </w:rPr>
        <w:t xml:space="preserve"> </w:t>
      </w:r>
      <w:r w:rsidRPr="004574F9">
        <w:rPr>
          <w:rFonts w:eastAsia="Times New Roman" w:cstheme="minorHAnsi"/>
          <w:lang w:eastAsia="cs-CZ"/>
        </w:rPr>
        <w:t xml:space="preserve">roce </w:t>
      </w:r>
      <w:r w:rsidRPr="009B5EC9">
        <w:rPr>
          <w:rFonts w:eastAsia="Times New Roman" w:cstheme="minorHAnsi"/>
          <w:lang w:eastAsia="cs-CZ"/>
        </w:rPr>
        <w:t>2017</w:t>
      </w:r>
      <w:r>
        <w:rPr>
          <w:rFonts w:eastAsia="Times New Roman" w:cstheme="minorHAnsi"/>
          <w:lang w:eastAsia="cs-CZ"/>
        </w:rPr>
        <w:t xml:space="preserve"> </w:t>
      </w:r>
      <w:r w:rsidRPr="004574F9">
        <w:rPr>
          <w:rFonts w:eastAsia="Times New Roman" w:cstheme="minorHAnsi"/>
          <w:lang w:eastAsia="cs-CZ"/>
        </w:rPr>
        <w:t xml:space="preserve">zvýšila o 4,5 %, </w:t>
      </w:r>
      <w:r>
        <w:rPr>
          <w:rFonts w:eastAsia="Times New Roman" w:cstheme="minorHAnsi"/>
          <w:lang w:eastAsia="cs-CZ"/>
        </w:rPr>
        <w:t xml:space="preserve">tedy </w:t>
      </w:r>
      <w:r w:rsidR="00E4110D">
        <w:rPr>
          <w:rFonts w:eastAsia="Times New Roman" w:cstheme="minorHAnsi"/>
          <w:lang w:eastAsia="cs-CZ"/>
        </w:rPr>
        <w:t xml:space="preserve">rostla </w:t>
      </w:r>
      <w:r w:rsidRPr="004574F9">
        <w:rPr>
          <w:rFonts w:eastAsia="Times New Roman" w:cstheme="minorHAnsi"/>
          <w:lang w:eastAsia="cs-CZ"/>
        </w:rPr>
        <w:t>téměř dvojnásobným tempem než v</w:t>
      </w:r>
      <w:r>
        <w:rPr>
          <w:rFonts w:eastAsia="Times New Roman" w:cstheme="minorHAnsi"/>
          <w:lang w:eastAsia="cs-CZ"/>
        </w:rPr>
        <w:t xml:space="preserve"> </w:t>
      </w:r>
      <w:r w:rsidRPr="004574F9">
        <w:rPr>
          <w:rFonts w:eastAsia="Times New Roman" w:cstheme="minorHAnsi"/>
          <w:lang w:eastAsia="cs-CZ"/>
        </w:rPr>
        <w:t xml:space="preserve">předchozím roce. </w:t>
      </w:r>
      <w:r>
        <w:rPr>
          <w:rFonts w:eastAsia="Times New Roman" w:cstheme="minorHAnsi"/>
          <w:lang w:eastAsia="cs-CZ"/>
        </w:rPr>
        <w:t>K vyšší</w:t>
      </w:r>
      <w:r w:rsidRPr="004574F9">
        <w:rPr>
          <w:rFonts w:eastAsia="Times New Roman" w:cstheme="minorHAnsi"/>
          <w:lang w:eastAsia="cs-CZ"/>
        </w:rPr>
        <w:t xml:space="preserve"> dynami</w:t>
      </w:r>
      <w:r>
        <w:rPr>
          <w:rFonts w:eastAsia="Times New Roman" w:cstheme="minorHAnsi"/>
          <w:lang w:eastAsia="cs-CZ"/>
        </w:rPr>
        <w:t>ce HDP přispěly všechny výdajové složky. Přetrvávala nastoupená dynamika spotřeby a obnovil se růst investic.</w:t>
      </w:r>
      <w:r w:rsidRPr="004574F9">
        <w:rPr>
          <w:rFonts w:eastAsia="Times New Roman" w:cstheme="minorHAnsi"/>
          <w:lang w:eastAsia="cs-CZ"/>
        </w:rPr>
        <w:t xml:space="preserve"> Domácí spotřeba byla poháněna výrazným zvyšováním </w:t>
      </w:r>
      <w:r>
        <w:rPr>
          <w:rFonts w:eastAsia="Times New Roman" w:cstheme="minorHAnsi"/>
          <w:lang w:eastAsia="cs-CZ"/>
        </w:rPr>
        <w:t>mezd a zvyšováním</w:t>
      </w:r>
      <w:r w:rsidRPr="004574F9">
        <w:rPr>
          <w:rFonts w:eastAsia="Times New Roman" w:cstheme="minorHAnsi"/>
          <w:lang w:eastAsia="cs-CZ"/>
        </w:rPr>
        <w:t xml:space="preserve"> výdaj</w:t>
      </w:r>
      <w:r>
        <w:rPr>
          <w:rFonts w:eastAsia="Times New Roman" w:cstheme="minorHAnsi"/>
          <w:lang w:eastAsia="cs-CZ"/>
        </w:rPr>
        <w:t>ů</w:t>
      </w:r>
      <w:r w:rsidRPr="004574F9">
        <w:rPr>
          <w:rFonts w:eastAsia="Times New Roman" w:cstheme="minorHAnsi"/>
          <w:lang w:eastAsia="cs-CZ"/>
        </w:rPr>
        <w:t xml:space="preserve"> domácností. Centrální banka se rozhodla k</w:t>
      </w:r>
      <w:r>
        <w:rPr>
          <w:rFonts w:eastAsia="Times New Roman" w:cstheme="minorHAnsi"/>
          <w:lang w:eastAsia="cs-CZ"/>
        </w:rPr>
        <w:t xml:space="preserve"> </w:t>
      </w:r>
      <w:r w:rsidRPr="004574F9">
        <w:rPr>
          <w:rFonts w:eastAsia="Times New Roman" w:cstheme="minorHAnsi"/>
          <w:lang w:eastAsia="cs-CZ"/>
        </w:rPr>
        <w:t>první změně měnově politických sazeb od roku 2012</w:t>
      </w:r>
      <w:r>
        <w:rPr>
          <w:rFonts w:eastAsia="Times New Roman" w:cstheme="minorHAnsi"/>
          <w:lang w:eastAsia="cs-CZ"/>
        </w:rPr>
        <w:t xml:space="preserve"> a došlo k</w:t>
      </w:r>
      <w:r w:rsidRPr="004574F9">
        <w:rPr>
          <w:rFonts w:eastAsia="Times New Roman" w:cstheme="minorHAnsi"/>
          <w:lang w:eastAsia="cs-CZ"/>
        </w:rPr>
        <w:t xml:space="preserve"> první</w:t>
      </w:r>
      <w:r>
        <w:rPr>
          <w:rFonts w:eastAsia="Times New Roman" w:cstheme="minorHAnsi"/>
          <w:lang w:eastAsia="cs-CZ"/>
        </w:rPr>
        <w:t>mu</w:t>
      </w:r>
      <w:r w:rsidRPr="004574F9">
        <w:rPr>
          <w:rFonts w:eastAsia="Times New Roman" w:cstheme="minorHAnsi"/>
          <w:lang w:eastAsia="cs-CZ"/>
        </w:rPr>
        <w:t xml:space="preserve"> navýšení </w:t>
      </w:r>
      <w:r>
        <w:rPr>
          <w:rFonts w:eastAsia="Times New Roman" w:cstheme="minorHAnsi"/>
          <w:lang w:eastAsia="cs-CZ"/>
        </w:rPr>
        <w:t xml:space="preserve">sazeb </w:t>
      </w:r>
      <w:r w:rsidRPr="004574F9">
        <w:rPr>
          <w:rFonts w:eastAsia="Times New Roman" w:cstheme="minorHAnsi"/>
          <w:lang w:eastAsia="cs-CZ"/>
        </w:rPr>
        <w:t xml:space="preserve">od roku 2008. Na trhu práce </w:t>
      </w:r>
      <w:r>
        <w:rPr>
          <w:rFonts w:eastAsia="Times New Roman" w:cstheme="minorHAnsi"/>
          <w:lang w:eastAsia="cs-CZ"/>
        </w:rPr>
        <w:t xml:space="preserve">nadále </w:t>
      </w:r>
      <w:r w:rsidRPr="004574F9">
        <w:rPr>
          <w:rFonts w:eastAsia="Times New Roman" w:cstheme="minorHAnsi"/>
          <w:lang w:eastAsia="cs-CZ"/>
        </w:rPr>
        <w:t>převažovaly příznivé tendence</w:t>
      </w:r>
      <w:r>
        <w:rPr>
          <w:rFonts w:eastAsia="Times New Roman" w:cstheme="minorHAnsi"/>
          <w:lang w:eastAsia="cs-CZ"/>
        </w:rPr>
        <w:t xml:space="preserve"> a r</w:t>
      </w:r>
      <w:r w:rsidRPr="004574F9">
        <w:rPr>
          <w:rFonts w:eastAsia="Times New Roman" w:cstheme="minorHAnsi"/>
          <w:lang w:eastAsia="cs-CZ"/>
        </w:rPr>
        <w:t>ůst zaměstnanosti akceleroval.</w:t>
      </w:r>
      <w:r>
        <w:rPr>
          <w:rFonts w:eastAsia="Times New Roman" w:cstheme="minorHAnsi"/>
          <w:lang w:eastAsia="cs-CZ"/>
        </w:rPr>
        <w:t xml:space="preserve"> Hrubá přidaná hodnota se zvýšila o 4,2 %.</w:t>
      </w:r>
    </w:p>
    <w:p w14:paraId="74007992" w14:textId="77777777" w:rsidR="009C6C55" w:rsidRDefault="009C6C55" w:rsidP="008C5CED">
      <w:pPr>
        <w:rPr>
          <w:rFonts w:eastAsia="Times New Roman" w:cstheme="minorHAnsi"/>
          <w:lang w:eastAsia="cs-CZ"/>
        </w:rPr>
      </w:pPr>
      <w:r>
        <w:rPr>
          <w:rFonts w:eastAsia="Times New Roman" w:cstheme="minorHAnsi"/>
          <w:lang w:eastAsia="cs-CZ"/>
        </w:rPr>
        <w:t xml:space="preserve">V roce </w:t>
      </w:r>
      <w:r w:rsidRPr="009B5EC9">
        <w:rPr>
          <w:rFonts w:eastAsia="Times New Roman" w:cstheme="minorHAnsi"/>
          <w:lang w:eastAsia="cs-CZ"/>
        </w:rPr>
        <w:t>2018</w:t>
      </w:r>
      <w:r>
        <w:rPr>
          <w:rFonts w:eastAsia="Times New Roman" w:cstheme="minorHAnsi"/>
          <w:lang w:eastAsia="cs-CZ"/>
        </w:rPr>
        <w:t xml:space="preserve"> se tempo ekonomiky opět mírně přibrzdilo a i když si spotřeba nadále udržovala pozitivní trend a tvorba investic se ještě proti roku 2017 zvýšila, tak růst HDP činil jen 3 %. Mimo jiné i proto, že saldo zahraničního obchodu pokleslo na úroveň roku 2016. Vývoj dynamiky v průběhu roku i prognózy dalšího ekonomického vývoje signalizují další pokles ekonomické výkonnosti v příštích letech.</w:t>
      </w:r>
    </w:p>
    <w:p w14:paraId="5144BABE" w14:textId="77777777" w:rsidR="009C6C55" w:rsidRDefault="009C6C55" w:rsidP="009C6C55">
      <w:pPr>
        <w:spacing w:after="0" w:line="240" w:lineRule="auto"/>
        <w:rPr>
          <w:rFonts w:eastAsia="Times New Roman" w:cstheme="minorHAnsi"/>
          <w:lang w:eastAsia="cs-CZ"/>
        </w:rPr>
      </w:pPr>
    </w:p>
    <w:p w14:paraId="54BCE9A8" w14:textId="77777777" w:rsidR="009C6C55" w:rsidRPr="009C6C55" w:rsidRDefault="00605061" w:rsidP="009C6C55">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bookmarkStart w:id="29" w:name="_Toc5626447"/>
      <w:r>
        <w:rPr>
          <w:rFonts w:asciiTheme="majorHAnsi" w:eastAsiaTheme="majorEastAsia" w:hAnsiTheme="majorHAnsi" w:cstheme="majorHAnsi"/>
          <w:i/>
          <w:caps/>
          <w:color w:val="004B8D"/>
          <w:spacing w:val="0"/>
          <w:sz w:val="22"/>
          <w:lang w:bidi="ar-SA"/>
        </w:rPr>
        <w:lastRenderedPageBreak/>
        <w:t xml:space="preserve">3.1.2 </w:t>
      </w:r>
      <w:r w:rsidR="009C6C55" w:rsidRPr="009C6C55">
        <w:rPr>
          <w:rFonts w:asciiTheme="majorHAnsi" w:eastAsiaTheme="majorEastAsia" w:hAnsiTheme="majorHAnsi" w:cstheme="majorHAnsi"/>
          <w:i/>
          <w:caps/>
          <w:color w:val="004B8D"/>
          <w:spacing w:val="0"/>
          <w:sz w:val="22"/>
          <w:lang w:bidi="ar-SA"/>
        </w:rPr>
        <w:t>Výzkum a vývoj v podnikatelském sektoru v letech 2011 –2017</w:t>
      </w:r>
      <w:bookmarkEnd w:id="29"/>
    </w:p>
    <w:p w14:paraId="6E5CBBAD" w14:textId="77777777" w:rsidR="009C6C55" w:rsidRDefault="009C6C55" w:rsidP="008C5CED">
      <w:pPr>
        <w:rPr>
          <w:rFonts w:eastAsia="Times New Roman" w:cstheme="minorHAnsi"/>
          <w:lang w:eastAsia="cs-CZ"/>
        </w:rPr>
      </w:pPr>
      <w:r>
        <w:rPr>
          <w:rFonts w:eastAsia="Times New Roman" w:cstheme="minorHAnsi"/>
          <w:lang w:eastAsia="cs-CZ"/>
        </w:rPr>
        <w:t xml:space="preserve">Celkové výdaje na VaV (GERD) se v ČR průběžně zvyšují. Výjimečným rokem v tomto pozitivním trendu byl rok 2016. Příčinou byla zřejmě nerovnoměrnost v čerpání prostředků z ESIF, kdy prostředky z </w:t>
      </w:r>
      <w:r w:rsidRPr="004574F9">
        <w:rPr>
          <w:rFonts w:eastAsia="Times New Roman" w:cstheme="minorHAnsi"/>
          <w:lang w:eastAsia="cs-CZ"/>
        </w:rPr>
        <w:t>programové</w:t>
      </w:r>
      <w:r>
        <w:rPr>
          <w:rFonts w:eastAsia="Times New Roman" w:cstheme="minorHAnsi"/>
          <w:lang w:eastAsia="cs-CZ"/>
        </w:rPr>
        <w:t>ho</w:t>
      </w:r>
      <w:r w:rsidRPr="004574F9">
        <w:rPr>
          <w:rFonts w:eastAsia="Times New Roman" w:cstheme="minorHAnsi"/>
          <w:lang w:eastAsia="cs-CZ"/>
        </w:rPr>
        <w:t xml:space="preserve"> období 2007–2013 se mnohdy dočerpávaly ještě v</w:t>
      </w:r>
      <w:r w:rsidR="00E4110D">
        <w:rPr>
          <w:rFonts w:eastAsia="Times New Roman" w:cstheme="minorHAnsi"/>
          <w:lang w:eastAsia="cs-CZ"/>
        </w:rPr>
        <w:t xml:space="preserve"> </w:t>
      </w:r>
      <w:r w:rsidRPr="004574F9">
        <w:rPr>
          <w:rFonts w:eastAsia="Times New Roman" w:cstheme="minorHAnsi"/>
          <w:lang w:eastAsia="cs-CZ"/>
        </w:rPr>
        <w:t>roce 2015</w:t>
      </w:r>
      <w:r>
        <w:rPr>
          <w:rFonts w:eastAsia="Times New Roman" w:cstheme="minorHAnsi"/>
          <w:lang w:eastAsia="cs-CZ"/>
        </w:rPr>
        <w:t xml:space="preserve"> a start do nového programového období 2014 -</w:t>
      </w:r>
      <w:r w:rsidRPr="004574F9">
        <w:rPr>
          <w:rFonts w:eastAsia="Times New Roman" w:cstheme="minorHAnsi"/>
          <w:lang w:eastAsia="cs-CZ"/>
        </w:rPr>
        <w:t xml:space="preserve"> 20</w:t>
      </w:r>
      <w:r>
        <w:rPr>
          <w:rFonts w:eastAsia="Times New Roman" w:cstheme="minorHAnsi"/>
          <w:lang w:eastAsia="cs-CZ"/>
        </w:rPr>
        <w:t>20</w:t>
      </w:r>
      <w:r w:rsidRPr="004574F9">
        <w:rPr>
          <w:rFonts w:eastAsia="Times New Roman" w:cstheme="minorHAnsi"/>
          <w:lang w:eastAsia="cs-CZ"/>
        </w:rPr>
        <w:t xml:space="preserve"> </w:t>
      </w:r>
      <w:r>
        <w:rPr>
          <w:rFonts w:eastAsia="Times New Roman" w:cstheme="minorHAnsi"/>
          <w:lang w:eastAsia="cs-CZ"/>
        </w:rPr>
        <w:t xml:space="preserve">se rozbíhal pomalu. </w:t>
      </w:r>
    </w:p>
    <w:p w14:paraId="7698E065" w14:textId="77777777" w:rsidR="009C6C55" w:rsidRDefault="009C6C55" w:rsidP="008C5CED">
      <w:pPr>
        <w:rPr>
          <w:rFonts w:eastAsia="Times New Roman" w:cstheme="minorHAnsi"/>
          <w:lang w:eastAsia="cs-CZ"/>
        </w:rPr>
      </w:pPr>
      <w:r>
        <w:rPr>
          <w:rFonts w:eastAsia="Times New Roman" w:cstheme="minorHAnsi"/>
          <w:lang w:eastAsia="cs-CZ"/>
        </w:rPr>
        <w:t>Intenzita celkových výdajů na VaV (GERD/HDP) se v roce 2016 dostala na úroveň nižší než v roce 2012. Že se jednalo o přechodný stav dokumentují data za rok 2017. I tak však růst celkových výdajů na VaV neodpovídá růstu HDP a dosažení intenzity přes 2 %, která by ČR přiblížila průměru EU, se proti období 2013</w:t>
      </w:r>
      <w:r w:rsidR="00E57E1F">
        <w:rPr>
          <w:rFonts w:eastAsia="Times New Roman" w:cstheme="minorHAnsi"/>
          <w:lang w:eastAsia="cs-CZ"/>
        </w:rPr>
        <w:t xml:space="preserve"> - </w:t>
      </w:r>
      <w:r>
        <w:rPr>
          <w:rFonts w:eastAsia="Times New Roman" w:cstheme="minorHAnsi"/>
          <w:lang w:eastAsia="cs-CZ"/>
        </w:rPr>
        <w:t>2015 vzdálilo.</w:t>
      </w:r>
    </w:p>
    <w:p w14:paraId="61E568F7" w14:textId="77777777" w:rsidR="00880D1B" w:rsidRDefault="00880D1B" w:rsidP="00880D1B">
      <w:pPr>
        <w:spacing w:after="0" w:line="240" w:lineRule="auto"/>
        <w:rPr>
          <w:rFonts w:eastAsia="Times New Roman" w:cstheme="minorHAnsi"/>
          <w:b/>
          <w:lang w:eastAsia="cs-CZ"/>
        </w:rPr>
      </w:pPr>
      <w:bookmarkStart w:id="30" w:name="_Toc5626486"/>
      <w:r w:rsidRPr="00570F07">
        <w:rPr>
          <w:b/>
          <w:szCs w:val="22"/>
        </w:rPr>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3</w:t>
      </w:r>
      <w:r w:rsidR="008A090D" w:rsidRPr="00570F07">
        <w:rPr>
          <w:b/>
          <w:szCs w:val="22"/>
        </w:rPr>
        <w:fldChar w:fldCharType="end"/>
      </w:r>
      <w:r w:rsidRPr="00570F07">
        <w:rPr>
          <w:b/>
          <w:szCs w:val="22"/>
        </w:rPr>
        <w:t xml:space="preserve"> - </w:t>
      </w:r>
      <w:r w:rsidRPr="00880D1B">
        <w:rPr>
          <w:rFonts w:eastAsia="Times New Roman" w:cs="Calibri"/>
          <w:color w:val="000000"/>
          <w:spacing w:val="0"/>
          <w:szCs w:val="22"/>
          <w:lang w:eastAsia="cs-CZ" w:bidi="ar-SA"/>
        </w:rPr>
        <w:t>Zdroje financování VaV (v mld. Kč) a intenzita (GERD/HDP)</w:t>
      </w:r>
      <w:bookmarkEnd w:id="30"/>
    </w:p>
    <w:p w14:paraId="38F8C9B0" w14:textId="77777777" w:rsidR="009C6C55" w:rsidRPr="00A310C6" w:rsidRDefault="009C6C55" w:rsidP="009C6C55">
      <w:pPr>
        <w:spacing w:after="0" w:line="240" w:lineRule="auto"/>
        <w:jc w:val="left"/>
        <w:rPr>
          <w:rFonts w:eastAsia="Times New Roman" w:cs="Calibri"/>
          <w:b/>
          <w:bCs/>
          <w:szCs w:val="22"/>
          <w:lang w:eastAsia="cs-CZ"/>
        </w:rPr>
      </w:pPr>
      <w:r w:rsidRPr="001E7228">
        <w:rPr>
          <w:noProof/>
          <w:lang w:eastAsia="cs-CZ" w:bidi="ar-SA"/>
        </w:rPr>
        <w:drawing>
          <wp:inline distT="0" distB="0" distL="0" distR="0" wp14:anchorId="66C324B1" wp14:editId="6763763C">
            <wp:extent cx="5760720" cy="2714858"/>
            <wp:effectExtent l="19050" t="0" r="0" b="0"/>
            <wp:docPr id="2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5760720" cy="2714858"/>
                    </a:xfrm>
                    <a:prstGeom prst="rect">
                      <a:avLst/>
                    </a:prstGeom>
                    <a:noFill/>
                    <a:ln w="9525">
                      <a:noFill/>
                      <a:miter lim="800000"/>
                      <a:headEnd/>
                      <a:tailEnd/>
                    </a:ln>
                  </pic:spPr>
                </pic:pic>
              </a:graphicData>
            </a:graphic>
          </wp:inline>
        </w:drawing>
      </w:r>
    </w:p>
    <w:p w14:paraId="3B5E2560" w14:textId="77777777" w:rsidR="009C6C55" w:rsidRPr="00A310C6" w:rsidRDefault="009C6C55" w:rsidP="008C5CED">
      <w:pPr>
        <w:spacing w:before="0"/>
        <w:rPr>
          <w:rFonts w:cs="Arial"/>
          <w:i/>
          <w:sz w:val="18"/>
          <w:szCs w:val="18"/>
        </w:rPr>
      </w:pPr>
      <w:r w:rsidRPr="00AF062D">
        <w:rPr>
          <w:rFonts w:cs="Arial"/>
          <w:i/>
          <w:sz w:val="18"/>
          <w:szCs w:val="18"/>
        </w:rPr>
        <w:t xml:space="preserve">Zdroj: </w:t>
      </w:r>
      <w:r w:rsidRPr="00A310C6">
        <w:rPr>
          <w:rFonts w:cs="Arial"/>
          <w:i/>
          <w:sz w:val="18"/>
          <w:szCs w:val="18"/>
        </w:rPr>
        <w:t xml:space="preserve">ČSÚ </w:t>
      </w:r>
      <w:hyperlink r:id="rId15" w:history="1">
        <w:r w:rsidRPr="00A310C6">
          <w:rPr>
            <w:rStyle w:val="Hypertextovodkaz"/>
            <w:sz w:val="18"/>
            <w:szCs w:val="18"/>
          </w:rPr>
          <w:t>https://www.czso.cz/csu/czso/1-ukazatele-vav-za-ceskou-republiku-celkem-xc9pxijf9k</w:t>
        </w:r>
      </w:hyperlink>
      <w:r w:rsidRPr="00A310C6">
        <w:rPr>
          <w:rFonts w:cs="Arial"/>
          <w:i/>
          <w:sz w:val="18"/>
          <w:szCs w:val="18"/>
        </w:rPr>
        <w:t xml:space="preserve">, vlastní zpracování </w:t>
      </w:r>
    </w:p>
    <w:p w14:paraId="25CCB5CF" w14:textId="77777777" w:rsidR="007E0924" w:rsidRDefault="007E0924" w:rsidP="008C5CED">
      <w:pPr>
        <w:rPr>
          <w:rFonts w:eastAsia="Times New Roman" w:cstheme="minorHAnsi"/>
          <w:lang w:eastAsia="cs-CZ"/>
        </w:rPr>
      </w:pPr>
    </w:p>
    <w:p w14:paraId="39678930" w14:textId="77777777" w:rsidR="009C6C55" w:rsidRDefault="009C6C55" w:rsidP="008C5CED">
      <w:pPr>
        <w:rPr>
          <w:rFonts w:eastAsia="Times New Roman" w:cstheme="minorHAnsi"/>
          <w:lang w:eastAsia="cs-CZ"/>
        </w:rPr>
      </w:pPr>
      <w:r>
        <w:rPr>
          <w:rFonts w:eastAsia="Times New Roman" w:cstheme="minorHAnsi"/>
          <w:lang w:eastAsia="cs-CZ"/>
        </w:rPr>
        <w:t>Pozitivní je trvalý růst podílu financování VaV podnikatelským sektorem. I když ve vztahu k HDP vynakládají na VaV české podniky méně než je průměr EU, tak od roku 2014 si udržují podíl okolo 1 % a hodnota za rok 2017 činí již 1,07 % HDP.</w:t>
      </w:r>
    </w:p>
    <w:p w14:paraId="5406B8C0" w14:textId="77777777" w:rsidR="009C6C55" w:rsidRDefault="009C6C55" w:rsidP="008C5CED">
      <w:pPr>
        <w:rPr>
          <w:rFonts w:eastAsia="Times New Roman" w:cstheme="minorHAnsi"/>
          <w:lang w:eastAsia="cs-CZ"/>
        </w:rPr>
      </w:pPr>
      <w:r>
        <w:rPr>
          <w:rFonts w:eastAsia="Times New Roman" w:cstheme="minorHAnsi"/>
          <w:lang w:eastAsia="cs-CZ"/>
        </w:rPr>
        <w:t>Klasifikace zaměstnání CZ-ISCO rozlišuje specialisty působící v oblasti vědy a techniky na šest skupin. V roce 2017 působilo v oblasti vědy a techniky celkem 144,5 tisíce fyzických osob, což v podílu na zaměstnanosti v ČR činilo 2,8 %. Podíly jednotlivých skupin specialistů v třídění podle CZ-ISCO je uvedeno v následujícím grafu. Zhruba ¼ připadá na výzkumnou a ¾ na podnikovou základnu.</w:t>
      </w:r>
    </w:p>
    <w:p w14:paraId="20EA6E13" w14:textId="77777777" w:rsidR="007B5BD7" w:rsidRDefault="007B5BD7" w:rsidP="008C5CED">
      <w:pPr>
        <w:rPr>
          <w:rFonts w:eastAsia="Times New Roman" w:cstheme="minorHAnsi"/>
          <w:lang w:eastAsia="cs-CZ"/>
        </w:rPr>
      </w:pPr>
    </w:p>
    <w:p w14:paraId="5C8D9DF3" w14:textId="77777777" w:rsidR="007B5BD7" w:rsidRDefault="007B5BD7" w:rsidP="008C5CED">
      <w:pPr>
        <w:rPr>
          <w:rFonts w:eastAsia="Times New Roman" w:cstheme="minorHAnsi"/>
          <w:lang w:eastAsia="cs-CZ"/>
        </w:rPr>
      </w:pPr>
    </w:p>
    <w:p w14:paraId="3FF16552" w14:textId="77777777" w:rsidR="007B5BD7" w:rsidRDefault="007B5BD7" w:rsidP="008C5CED">
      <w:pPr>
        <w:rPr>
          <w:rFonts w:eastAsia="Times New Roman" w:cstheme="minorHAnsi"/>
          <w:lang w:eastAsia="cs-CZ"/>
        </w:rPr>
      </w:pPr>
    </w:p>
    <w:p w14:paraId="2AC8BFCD" w14:textId="77777777" w:rsidR="00880D1B" w:rsidRDefault="00880D1B" w:rsidP="00880D1B">
      <w:pPr>
        <w:spacing w:after="0" w:line="240" w:lineRule="auto"/>
        <w:rPr>
          <w:rFonts w:eastAsia="Times New Roman" w:cstheme="minorHAnsi"/>
          <w:b/>
          <w:lang w:eastAsia="cs-CZ"/>
        </w:rPr>
      </w:pPr>
      <w:bookmarkStart w:id="31" w:name="_Toc5626487"/>
      <w:r w:rsidRPr="00570F07">
        <w:rPr>
          <w:b/>
          <w:szCs w:val="22"/>
        </w:rPr>
        <w:lastRenderedPageBreak/>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4</w:t>
      </w:r>
      <w:r w:rsidR="008A090D" w:rsidRPr="00570F07">
        <w:rPr>
          <w:b/>
          <w:szCs w:val="22"/>
        </w:rPr>
        <w:fldChar w:fldCharType="end"/>
      </w:r>
      <w:r w:rsidRPr="00570F07">
        <w:rPr>
          <w:b/>
          <w:szCs w:val="22"/>
        </w:rPr>
        <w:t xml:space="preserve"> - </w:t>
      </w:r>
      <w:r w:rsidRPr="00880D1B">
        <w:rPr>
          <w:rFonts w:eastAsia="Times New Roman" w:cs="Calibri"/>
          <w:color w:val="000000"/>
          <w:spacing w:val="0"/>
          <w:szCs w:val="22"/>
          <w:lang w:eastAsia="cs-CZ" w:bidi="ar-SA"/>
        </w:rPr>
        <w:t>Specialisté v oblasti vědy a techniky v roce 2017</w:t>
      </w:r>
      <w:bookmarkEnd w:id="31"/>
    </w:p>
    <w:p w14:paraId="7272DA1C" w14:textId="77777777" w:rsidR="009C6C55" w:rsidRPr="00FF520E" w:rsidRDefault="009C6C55" w:rsidP="009C6C55">
      <w:pPr>
        <w:spacing w:after="0" w:line="240" w:lineRule="auto"/>
        <w:rPr>
          <w:rFonts w:eastAsia="Times New Roman" w:cstheme="minorHAnsi"/>
          <w:b/>
          <w:lang w:eastAsia="cs-CZ"/>
        </w:rPr>
      </w:pPr>
      <w:r w:rsidRPr="008B55AF">
        <w:rPr>
          <w:noProof/>
          <w:lang w:eastAsia="cs-CZ" w:bidi="ar-SA"/>
        </w:rPr>
        <w:drawing>
          <wp:inline distT="0" distB="0" distL="0" distR="0" wp14:anchorId="6DBBD720" wp14:editId="5A38E614">
            <wp:extent cx="5760720" cy="2585466"/>
            <wp:effectExtent l="19050" t="0" r="0" b="0"/>
            <wp:docPr id="2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5760720" cy="2585466"/>
                    </a:xfrm>
                    <a:prstGeom prst="rect">
                      <a:avLst/>
                    </a:prstGeom>
                    <a:noFill/>
                    <a:ln w="9525">
                      <a:noFill/>
                      <a:miter lim="800000"/>
                      <a:headEnd/>
                      <a:tailEnd/>
                    </a:ln>
                  </pic:spPr>
                </pic:pic>
              </a:graphicData>
            </a:graphic>
          </wp:inline>
        </w:drawing>
      </w:r>
    </w:p>
    <w:p w14:paraId="3B265EAE" w14:textId="77777777" w:rsidR="009C6C55" w:rsidRPr="004574F9" w:rsidRDefault="009C6C55" w:rsidP="008C5CED">
      <w:pPr>
        <w:spacing w:before="0" w:after="0" w:line="240" w:lineRule="auto"/>
        <w:rPr>
          <w:rFonts w:eastAsia="Times New Roman" w:cstheme="minorHAnsi"/>
          <w:lang w:eastAsia="cs-CZ"/>
        </w:rPr>
      </w:pPr>
      <w:r w:rsidRPr="00AF062D">
        <w:rPr>
          <w:rFonts w:cs="Arial"/>
          <w:i/>
          <w:sz w:val="18"/>
          <w:szCs w:val="18"/>
        </w:rPr>
        <w:t xml:space="preserve">Zdroj: </w:t>
      </w:r>
      <w:r w:rsidRPr="00A310C6">
        <w:rPr>
          <w:rFonts w:cs="Arial"/>
          <w:i/>
          <w:sz w:val="18"/>
          <w:szCs w:val="18"/>
        </w:rPr>
        <w:t xml:space="preserve">ČSÚ </w:t>
      </w:r>
      <w:hyperlink r:id="rId17" w:history="1">
        <w:r w:rsidRPr="00881AB0">
          <w:rPr>
            <w:rStyle w:val="Hypertextovodkaz"/>
            <w:sz w:val="18"/>
            <w:szCs w:val="18"/>
          </w:rPr>
          <w:t>https://www.czso.cz/csu/czso/specialiste-v-oblasti-vedy-a-techniky-a-jejich-mzdy</w:t>
        </w:r>
      </w:hyperlink>
      <w:r w:rsidRPr="00A310C6">
        <w:rPr>
          <w:rFonts w:cs="Arial"/>
          <w:i/>
          <w:sz w:val="18"/>
          <w:szCs w:val="18"/>
        </w:rPr>
        <w:t>, vlastní zpracování</w:t>
      </w:r>
    </w:p>
    <w:p w14:paraId="4A0B1273" w14:textId="77777777" w:rsidR="009C6C55" w:rsidRDefault="009C6C55" w:rsidP="009C6C55">
      <w:pPr>
        <w:spacing w:after="0" w:line="240" w:lineRule="auto"/>
        <w:rPr>
          <w:rFonts w:eastAsia="Times New Roman" w:cstheme="minorHAnsi"/>
          <w:lang w:eastAsia="cs-CZ"/>
        </w:rPr>
      </w:pPr>
    </w:p>
    <w:p w14:paraId="25CFAC6E" w14:textId="569B2821" w:rsidR="009C6C55" w:rsidRDefault="009C6C55" w:rsidP="008C5CED">
      <w:pPr>
        <w:rPr>
          <w:rFonts w:eastAsia="Times New Roman" w:cstheme="minorHAnsi"/>
          <w:lang w:eastAsia="cs-CZ"/>
        </w:rPr>
      </w:pPr>
      <w:r>
        <w:rPr>
          <w:rFonts w:eastAsia="Times New Roman" w:cstheme="minorHAnsi"/>
          <w:lang w:eastAsia="cs-CZ"/>
        </w:rPr>
        <w:t>Podíl na zaměstnanosti v roce 2011 činil 1,9 % a v oblasti vědy a techniky působilo celkem 90,2</w:t>
      </w:r>
      <w:r w:rsidR="006D6FCE">
        <w:rPr>
          <w:rFonts w:eastAsia="Times New Roman" w:cstheme="minorHAnsi"/>
          <w:lang w:eastAsia="cs-CZ"/>
        </w:rPr>
        <w:t> </w:t>
      </w:r>
      <w:r>
        <w:rPr>
          <w:rFonts w:eastAsia="Times New Roman" w:cstheme="minorHAnsi"/>
          <w:lang w:eastAsia="cs-CZ"/>
        </w:rPr>
        <w:t>tisíce fyzických osob, což znamená, že ve sledovaném obdo</w:t>
      </w:r>
      <w:r w:rsidR="00E57E1F">
        <w:rPr>
          <w:rFonts w:eastAsia="Times New Roman" w:cstheme="minorHAnsi"/>
          <w:lang w:eastAsia="cs-CZ"/>
        </w:rPr>
        <w:t xml:space="preserve">bí (2011 - </w:t>
      </w:r>
      <w:r>
        <w:rPr>
          <w:rFonts w:eastAsia="Times New Roman" w:cstheme="minorHAnsi"/>
          <w:lang w:eastAsia="cs-CZ"/>
        </w:rPr>
        <w:t>2017) vzrostl počet specialistů v oblasti vědy a techniky prakticky o</w:t>
      </w:r>
      <w:r w:rsidR="00E57E1F">
        <w:rPr>
          <w:rFonts w:eastAsia="Times New Roman" w:cstheme="minorHAnsi"/>
          <w:lang w:eastAsia="cs-CZ"/>
        </w:rPr>
        <w:t xml:space="preserve"> 60 %. Vývoj v celkovém počtu specialistů</w:t>
      </w:r>
      <w:r>
        <w:rPr>
          <w:rFonts w:eastAsia="Times New Roman" w:cstheme="minorHAnsi"/>
          <w:lang w:eastAsia="cs-CZ"/>
        </w:rPr>
        <w:t>, resp. v podílu na zaměstnanosti vyplývá z následujícího grafu.</w:t>
      </w:r>
    </w:p>
    <w:p w14:paraId="2B16CBF5" w14:textId="77777777" w:rsidR="00880D1B" w:rsidRDefault="00880D1B" w:rsidP="009C6C55">
      <w:pPr>
        <w:spacing w:after="0" w:line="240" w:lineRule="auto"/>
        <w:rPr>
          <w:rFonts w:eastAsia="Times New Roman" w:cstheme="minorHAnsi"/>
          <w:b/>
          <w:lang w:eastAsia="cs-CZ"/>
        </w:rPr>
      </w:pPr>
      <w:bookmarkStart w:id="32" w:name="_Toc5626488"/>
      <w:r w:rsidRPr="00570F07">
        <w:rPr>
          <w:b/>
          <w:szCs w:val="22"/>
        </w:rPr>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5</w:t>
      </w:r>
      <w:r w:rsidR="008A090D" w:rsidRPr="00570F07">
        <w:rPr>
          <w:b/>
          <w:szCs w:val="22"/>
        </w:rPr>
        <w:fldChar w:fldCharType="end"/>
      </w:r>
      <w:r w:rsidRPr="00570F07">
        <w:rPr>
          <w:b/>
          <w:szCs w:val="22"/>
        </w:rPr>
        <w:t xml:space="preserve"> - </w:t>
      </w:r>
      <w:r w:rsidRPr="00880D1B">
        <w:rPr>
          <w:rFonts w:eastAsia="Times New Roman" w:cs="Calibri"/>
          <w:color w:val="000000"/>
          <w:spacing w:val="0"/>
          <w:szCs w:val="22"/>
          <w:lang w:eastAsia="cs-CZ" w:bidi="ar-SA"/>
        </w:rPr>
        <w:t>Vývoj počtu specialistů v oblasti vědy a techniky</w:t>
      </w:r>
      <w:bookmarkEnd w:id="32"/>
    </w:p>
    <w:p w14:paraId="249B413C" w14:textId="77777777" w:rsidR="00BE710F" w:rsidRPr="00B65508" w:rsidRDefault="00BE710F" w:rsidP="009C6C55">
      <w:pPr>
        <w:spacing w:after="0" w:line="240" w:lineRule="auto"/>
        <w:rPr>
          <w:rFonts w:eastAsia="Times New Roman" w:cstheme="minorHAnsi"/>
          <w:b/>
          <w:lang w:eastAsia="cs-CZ"/>
        </w:rPr>
      </w:pPr>
      <w:r w:rsidRPr="00BE710F">
        <w:rPr>
          <w:rFonts w:eastAsia="Times New Roman" w:cstheme="minorHAnsi"/>
          <w:b/>
          <w:noProof/>
          <w:lang w:eastAsia="cs-CZ" w:bidi="ar-SA"/>
        </w:rPr>
        <w:drawing>
          <wp:inline distT="0" distB="0" distL="0" distR="0" wp14:anchorId="53DF660E" wp14:editId="3C5B0A4B">
            <wp:extent cx="5655592" cy="2628900"/>
            <wp:effectExtent l="19050" t="0" r="2258" b="0"/>
            <wp:docPr id="207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srcRect/>
                    <a:stretch>
                      <a:fillRect/>
                    </a:stretch>
                  </pic:blipFill>
                  <pic:spPr bwMode="auto">
                    <a:xfrm>
                      <a:off x="0" y="0"/>
                      <a:ext cx="5658076" cy="2630055"/>
                    </a:xfrm>
                    <a:prstGeom prst="rect">
                      <a:avLst/>
                    </a:prstGeom>
                    <a:noFill/>
                    <a:ln w="9525">
                      <a:noFill/>
                      <a:miter lim="800000"/>
                      <a:headEnd/>
                      <a:tailEnd/>
                    </a:ln>
                  </pic:spPr>
                </pic:pic>
              </a:graphicData>
            </a:graphic>
          </wp:inline>
        </w:drawing>
      </w:r>
    </w:p>
    <w:p w14:paraId="73225C5B" w14:textId="77777777" w:rsidR="009C6C55" w:rsidRDefault="009C6C55" w:rsidP="0087375B">
      <w:pPr>
        <w:spacing w:before="0" w:after="0" w:line="240" w:lineRule="auto"/>
        <w:rPr>
          <w:rFonts w:cs="Arial"/>
          <w:i/>
          <w:sz w:val="18"/>
          <w:szCs w:val="18"/>
        </w:rPr>
      </w:pPr>
      <w:r w:rsidRPr="00AF062D">
        <w:rPr>
          <w:rFonts w:cs="Arial"/>
          <w:i/>
          <w:sz w:val="18"/>
          <w:szCs w:val="18"/>
        </w:rPr>
        <w:t xml:space="preserve">Zdroj: </w:t>
      </w:r>
      <w:r w:rsidRPr="00A310C6">
        <w:rPr>
          <w:rFonts w:cs="Arial"/>
          <w:i/>
          <w:sz w:val="18"/>
          <w:szCs w:val="18"/>
        </w:rPr>
        <w:t xml:space="preserve">ČSÚ </w:t>
      </w:r>
      <w:hyperlink r:id="rId19" w:history="1">
        <w:r w:rsidRPr="00881AB0">
          <w:rPr>
            <w:rStyle w:val="Hypertextovodkaz"/>
            <w:sz w:val="18"/>
            <w:szCs w:val="18"/>
          </w:rPr>
          <w:t>https://www.czso.cz/csu/czso/specialiste-v-oblasti-vedy-a-techniky-a-jejich-mzdy</w:t>
        </w:r>
      </w:hyperlink>
      <w:r w:rsidR="008C5CED">
        <w:rPr>
          <w:rFonts w:cs="Arial"/>
          <w:i/>
          <w:sz w:val="18"/>
          <w:szCs w:val="18"/>
        </w:rPr>
        <w:t xml:space="preserve">, </w:t>
      </w:r>
      <w:r w:rsidRPr="00A310C6">
        <w:rPr>
          <w:rFonts w:cs="Arial"/>
          <w:i/>
          <w:sz w:val="18"/>
          <w:szCs w:val="18"/>
        </w:rPr>
        <w:t>vlastní zpracování</w:t>
      </w:r>
    </w:p>
    <w:p w14:paraId="083E0CCB" w14:textId="77777777" w:rsidR="009C6C55" w:rsidRDefault="009C6C55" w:rsidP="009C6C55">
      <w:pPr>
        <w:spacing w:after="0" w:line="240" w:lineRule="auto"/>
        <w:rPr>
          <w:rFonts w:cs="Arial"/>
          <w:i/>
          <w:sz w:val="18"/>
          <w:szCs w:val="18"/>
        </w:rPr>
      </w:pPr>
    </w:p>
    <w:p w14:paraId="4F7D736E" w14:textId="77777777" w:rsidR="009C6C55" w:rsidRPr="009C6C55" w:rsidRDefault="00605061" w:rsidP="009C6C55">
      <w:pPr>
        <w:pStyle w:val="Nadpis3"/>
        <w:keepNext/>
        <w:keepLines/>
        <w:numPr>
          <w:ilvl w:val="0"/>
          <w:numId w:val="0"/>
        </w:numPr>
        <w:pBdr>
          <w:top w:val="none" w:sz="0" w:space="0" w:color="auto"/>
          <w:left w:val="none" w:sz="0" w:space="0" w:color="auto"/>
        </w:pBdr>
        <w:spacing w:before="40" w:after="0" w:line="293" w:lineRule="auto"/>
        <w:jc w:val="left"/>
        <w:rPr>
          <w:rFonts w:eastAsia="Times New Roman" w:cstheme="minorHAnsi"/>
          <w:b/>
          <w:szCs w:val="24"/>
          <w:u w:val="single"/>
          <w:lang w:eastAsia="cs-CZ"/>
        </w:rPr>
      </w:pPr>
      <w:bookmarkStart w:id="33" w:name="_Toc5626448"/>
      <w:r>
        <w:rPr>
          <w:rFonts w:asciiTheme="majorHAnsi" w:eastAsiaTheme="majorEastAsia" w:hAnsiTheme="majorHAnsi" w:cstheme="majorHAnsi"/>
          <w:i/>
          <w:caps/>
          <w:color w:val="004B8D"/>
          <w:spacing w:val="0"/>
          <w:sz w:val="22"/>
          <w:lang w:bidi="ar-SA"/>
        </w:rPr>
        <w:t xml:space="preserve">3.1.3 </w:t>
      </w:r>
      <w:r w:rsidR="009C6C55" w:rsidRPr="009C6C55">
        <w:rPr>
          <w:rFonts w:asciiTheme="majorHAnsi" w:eastAsiaTheme="majorEastAsia" w:hAnsiTheme="majorHAnsi" w:cstheme="majorHAnsi"/>
          <w:i/>
          <w:caps/>
          <w:color w:val="004B8D"/>
          <w:spacing w:val="0"/>
          <w:sz w:val="22"/>
          <w:lang w:bidi="ar-SA"/>
        </w:rPr>
        <w:t>Národní RI</w:t>
      </w:r>
      <w:r w:rsidR="009C6C55">
        <w:rPr>
          <w:rFonts w:asciiTheme="majorHAnsi" w:eastAsiaTheme="majorEastAsia" w:hAnsiTheme="majorHAnsi" w:cstheme="majorHAnsi"/>
          <w:i/>
          <w:caps/>
          <w:color w:val="004B8D"/>
          <w:spacing w:val="0"/>
          <w:sz w:val="22"/>
          <w:lang w:bidi="ar-SA"/>
        </w:rPr>
        <w:t>S</w:t>
      </w:r>
      <w:r w:rsidR="009C6C55" w:rsidRPr="009C6C55">
        <w:rPr>
          <w:rFonts w:asciiTheme="majorHAnsi" w:eastAsiaTheme="majorEastAsia" w:hAnsiTheme="majorHAnsi" w:cstheme="majorHAnsi"/>
          <w:i/>
          <w:caps/>
          <w:color w:val="004B8D"/>
          <w:spacing w:val="0"/>
          <w:sz w:val="22"/>
          <w:lang w:bidi="ar-SA"/>
        </w:rPr>
        <w:t xml:space="preserve">3 strategie v kontextu </w:t>
      </w:r>
      <w:r w:rsidR="007C5CC4">
        <w:rPr>
          <w:rFonts w:asciiTheme="majorHAnsi" w:eastAsiaTheme="majorEastAsia" w:hAnsiTheme="majorHAnsi" w:cstheme="majorHAnsi"/>
          <w:i/>
          <w:caps/>
          <w:color w:val="004B8D"/>
          <w:spacing w:val="0"/>
          <w:sz w:val="22"/>
          <w:lang w:bidi="ar-SA"/>
        </w:rPr>
        <w:t xml:space="preserve">Dalšího </w:t>
      </w:r>
      <w:r w:rsidR="009C6C55" w:rsidRPr="009C6C55">
        <w:rPr>
          <w:rFonts w:asciiTheme="majorHAnsi" w:eastAsiaTheme="majorEastAsia" w:hAnsiTheme="majorHAnsi" w:cstheme="majorHAnsi"/>
          <w:i/>
          <w:caps/>
          <w:color w:val="004B8D"/>
          <w:spacing w:val="0"/>
          <w:sz w:val="22"/>
          <w:lang w:bidi="ar-SA"/>
        </w:rPr>
        <w:t>makroekonomického vývoje</w:t>
      </w:r>
      <w:bookmarkEnd w:id="33"/>
    </w:p>
    <w:p w14:paraId="1AC218D5" w14:textId="77777777" w:rsidR="009C6C55" w:rsidRPr="001876F3" w:rsidRDefault="009C6C55" w:rsidP="009C6C55">
      <w:r w:rsidRPr="001876F3">
        <w:t xml:space="preserve">Ekonomika ČR je dnes, na rozdíl od období vzniku </w:t>
      </w:r>
      <w:r w:rsidR="00E57E1F">
        <w:t xml:space="preserve">Národní </w:t>
      </w:r>
      <w:r w:rsidRPr="001876F3">
        <w:t>RIS3</w:t>
      </w:r>
      <w:r w:rsidR="00E57E1F">
        <w:t xml:space="preserve"> strategie</w:t>
      </w:r>
      <w:r w:rsidRPr="001876F3">
        <w:t xml:space="preserve">, charakteristická enormně nízkou mírou nezaměstnanosti, vysokým tempem hospodářského růstu, nízkou inflací, rostoucí </w:t>
      </w:r>
      <w:r w:rsidRPr="001876F3">
        <w:lastRenderedPageBreak/>
        <w:t>spotřebou a kladnými saldy zahraničního obchodu.</w:t>
      </w:r>
      <w:r w:rsidR="0087375B" w:rsidRPr="0087375B">
        <w:t xml:space="preserve"> </w:t>
      </w:r>
      <w:r w:rsidR="00D20055">
        <w:t>V roce 2018 se však již začínají zřetelně objevovat tendence postupného zpomalování ekonomiky</w:t>
      </w:r>
      <w:r w:rsidR="00E57E1F">
        <w:t>, jak je vidět z následující tabulky</w:t>
      </w:r>
      <w:r w:rsidR="00D20055">
        <w:t>.</w:t>
      </w:r>
    </w:p>
    <w:p w14:paraId="233F5D00" w14:textId="77777777" w:rsidR="00192B2E" w:rsidRPr="00732FEC" w:rsidRDefault="00C64D59" w:rsidP="00192B2E">
      <w:pPr>
        <w:spacing w:after="0"/>
        <w:rPr>
          <w:i/>
        </w:rPr>
      </w:pPr>
      <w:bookmarkStart w:id="34" w:name="_Ref4422718"/>
      <w:bookmarkStart w:id="35" w:name="_Toc5626514"/>
      <w:r w:rsidRPr="00C64D59">
        <w:rPr>
          <w:rFonts w:cs="Arial-ItalicMT"/>
          <w:b/>
          <w:iCs/>
          <w:szCs w:val="22"/>
        </w:rPr>
        <w:t xml:space="preserve">Tabulka č. </w:t>
      </w:r>
      <w:r w:rsidR="008A090D" w:rsidRPr="00C64D59">
        <w:rPr>
          <w:rFonts w:cs="Arial-ItalicMT"/>
          <w:b/>
          <w:iCs/>
          <w:szCs w:val="22"/>
        </w:rPr>
        <w:fldChar w:fldCharType="begin"/>
      </w:r>
      <w:r w:rsidRPr="00C64D59">
        <w:rPr>
          <w:rFonts w:cs="Arial-ItalicMT"/>
          <w:b/>
          <w:iCs/>
          <w:szCs w:val="22"/>
        </w:rPr>
        <w:instrText xml:space="preserve"> SEQ Tabulka_č._ \* ARABIC </w:instrText>
      </w:r>
      <w:r w:rsidR="008A090D" w:rsidRPr="00C64D59">
        <w:rPr>
          <w:rFonts w:cs="Arial-ItalicMT"/>
          <w:b/>
          <w:iCs/>
          <w:szCs w:val="22"/>
        </w:rPr>
        <w:fldChar w:fldCharType="separate"/>
      </w:r>
      <w:r w:rsidR="002309D5">
        <w:rPr>
          <w:rFonts w:cs="Arial-ItalicMT"/>
          <w:b/>
          <w:iCs/>
          <w:noProof/>
          <w:szCs w:val="22"/>
        </w:rPr>
        <w:t>5</w:t>
      </w:r>
      <w:r w:rsidR="008A090D" w:rsidRPr="00C64D59">
        <w:rPr>
          <w:rFonts w:cs="Arial-ItalicMT"/>
          <w:b/>
          <w:iCs/>
          <w:szCs w:val="22"/>
        </w:rPr>
        <w:fldChar w:fldCharType="end"/>
      </w:r>
      <w:r w:rsidRPr="00C64D59">
        <w:rPr>
          <w:rFonts w:cs="Arial-ItalicMT"/>
          <w:b/>
          <w:iCs/>
          <w:szCs w:val="22"/>
        </w:rPr>
        <w:t xml:space="preserve"> -</w:t>
      </w:r>
      <w:r w:rsidRPr="00D66402">
        <w:rPr>
          <w:rFonts w:cs="Arial-ItalicMT"/>
          <w:iCs/>
          <w:szCs w:val="22"/>
        </w:rPr>
        <w:t xml:space="preserve"> </w:t>
      </w:r>
      <w:r w:rsidR="00192B2E" w:rsidRPr="00732FEC">
        <w:rPr>
          <w:i/>
        </w:rPr>
        <w:t>Makroekonomický vývoj a prognóza 2013 - 2021</w:t>
      </w:r>
      <w:bookmarkEnd w:id="34"/>
      <w:bookmarkEnd w:id="35"/>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515"/>
        <w:gridCol w:w="679"/>
        <w:gridCol w:w="679"/>
        <w:gridCol w:w="679"/>
        <w:gridCol w:w="679"/>
        <w:gridCol w:w="679"/>
        <w:gridCol w:w="679"/>
        <w:gridCol w:w="679"/>
        <w:gridCol w:w="679"/>
        <w:gridCol w:w="679"/>
      </w:tblGrid>
      <w:tr w:rsidR="009C6C55" w14:paraId="536150BF" w14:textId="77777777" w:rsidTr="00BE698E">
        <w:trPr>
          <w:cnfStyle w:val="100000000000" w:firstRow="1" w:lastRow="0" w:firstColumn="0" w:lastColumn="0" w:oddVBand="0" w:evenVBand="0" w:oddHBand="0"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608" w:type="dxa"/>
            <w:gridSpan w:val="2"/>
            <w:vMerge w:val="restart"/>
            <w:shd w:val="clear" w:color="auto" w:fill="4F81BD"/>
          </w:tcPr>
          <w:p w14:paraId="50DF96A0" w14:textId="77777777" w:rsidR="009C6C55" w:rsidRPr="00BE698E" w:rsidRDefault="009C6C55" w:rsidP="00F33575">
            <w:pPr>
              <w:spacing w:before="0" w:after="0" w:line="240" w:lineRule="auto"/>
              <w:jc w:val="center"/>
              <w:rPr>
                <w:rFonts w:asciiTheme="majorHAnsi" w:hAnsiTheme="majorHAnsi" w:cstheme="majorHAnsi"/>
                <w:color w:val="FFFFFF" w:themeColor="background1"/>
              </w:rPr>
            </w:pPr>
          </w:p>
        </w:tc>
        <w:tc>
          <w:tcPr>
            <w:tcW w:w="3395" w:type="dxa"/>
            <w:gridSpan w:val="5"/>
            <w:shd w:val="clear" w:color="auto" w:fill="4F81BD"/>
          </w:tcPr>
          <w:p w14:paraId="2CA258DC" w14:textId="77777777" w:rsidR="009C6C55" w:rsidRPr="00BE698E" w:rsidRDefault="009C6C55" w:rsidP="00F33575">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color w:val="FFFFFF" w:themeColor="background1"/>
                <w:sz w:val="20"/>
              </w:rPr>
            </w:pPr>
            <w:r w:rsidRPr="00BE698E">
              <w:rPr>
                <w:rFonts w:asciiTheme="majorHAnsi" w:hAnsiTheme="majorHAnsi" w:cstheme="majorHAnsi"/>
                <w:b/>
                <w:color w:val="FFFFFF" w:themeColor="background1"/>
                <w:sz w:val="20"/>
              </w:rPr>
              <w:t>Údaje ČSÚ</w:t>
            </w:r>
          </w:p>
        </w:tc>
        <w:tc>
          <w:tcPr>
            <w:tcW w:w="2716" w:type="dxa"/>
            <w:gridSpan w:val="4"/>
            <w:shd w:val="clear" w:color="auto" w:fill="4F81BD"/>
          </w:tcPr>
          <w:p w14:paraId="6B37B681" w14:textId="77777777" w:rsidR="009C6C55" w:rsidRPr="00BE698E" w:rsidRDefault="009C6C55" w:rsidP="00F33575">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color w:val="FFFFFF" w:themeColor="background1"/>
                <w:sz w:val="20"/>
              </w:rPr>
            </w:pPr>
            <w:r w:rsidRPr="00BE698E">
              <w:rPr>
                <w:rFonts w:asciiTheme="majorHAnsi" w:hAnsiTheme="majorHAnsi" w:cstheme="majorHAnsi"/>
                <w:b/>
                <w:color w:val="FFFFFF" w:themeColor="background1"/>
                <w:sz w:val="20"/>
              </w:rPr>
              <w:t>Prognóza MF</w:t>
            </w:r>
            <w:r w:rsidRPr="00BE698E">
              <w:rPr>
                <w:rStyle w:val="Znakapoznpodarou"/>
                <w:rFonts w:asciiTheme="majorHAnsi" w:hAnsiTheme="majorHAnsi" w:cstheme="majorHAnsi"/>
                <w:b/>
                <w:color w:val="FFFFFF" w:themeColor="background1"/>
                <w:sz w:val="20"/>
              </w:rPr>
              <w:footnoteReference w:id="21"/>
            </w:r>
          </w:p>
        </w:tc>
      </w:tr>
      <w:tr w:rsidR="009C6C55" w14:paraId="7B890580" w14:textId="77777777" w:rsidTr="00BE698E">
        <w:trPr>
          <w:trHeight w:val="113"/>
        </w:trPr>
        <w:tc>
          <w:tcPr>
            <w:cnfStyle w:val="001000000000" w:firstRow="0" w:lastRow="0" w:firstColumn="1" w:lastColumn="0" w:oddVBand="0" w:evenVBand="0" w:oddHBand="0" w:evenHBand="0" w:firstRowFirstColumn="0" w:firstRowLastColumn="0" w:lastRowFirstColumn="0" w:lastRowLastColumn="0"/>
            <w:tcW w:w="2608" w:type="dxa"/>
            <w:gridSpan w:val="2"/>
            <w:vMerge/>
            <w:shd w:val="clear" w:color="auto" w:fill="4F81BD"/>
          </w:tcPr>
          <w:p w14:paraId="5763A027" w14:textId="77777777" w:rsidR="009C6C55" w:rsidRPr="00BE698E" w:rsidRDefault="009C6C55" w:rsidP="00F33575">
            <w:pPr>
              <w:spacing w:before="0" w:after="0" w:line="240" w:lineRule="auto"/>
              <w:jc w:val="center"/>
              <w:rPr>
                <w:rFonts w:asciiTheme="majorHAnsi" w:hAnsiTheme="majorHAnsi" w:cstheme="majorHAnsi"/>
                <w:color w:val="FFFFFF" w:themeColor="background1"/>
              </w:rPr>
            </w:pPr>
          </w:p>
        </w:tc>
        <w:tc>
          <w:tcPr>
            <w:tcW w:w="679" w:type="dxa"/>
            <w:shd w:val="clear" w:color="auto" w:fill="4F81BD"/>
          </w:tcPr>
          <w:p w14:paraId="2403E02C" w14:textId="77777777" w:rsidR="009C6C55" w:rsidRPr="00BE698E" w:rsidRDefault="009C6C55" w:rsidP="00F33575">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FFFFFF" w:themeColor="background1"/>
                <w:sz w:val="20"/>
              </w:rPr>
            </w:pPr>
            <w:r w:rsidRPr="00BE698E">
              <w:rPr>
                <w:rFonts w:asciiTheme="majorHAnsi" w:hAnsiTheme="majorHAnsi" w:cstheme="majorHAnsi"/>
                <w:b/>
                <w:color w:val="FFFFFF" w:themeColor="background1"/>
                <w:sz w:val="20"/>
              </w:rPr>
              <w:t>2013</w:t>
            </w:r>
          </w:p>
        </w:tc>
        <w:tc>
          <w:tcPr>
            <w:tcW w:w="679" w:type="dxa"/>
            <w:shd w:val="clear" w:color="auto" w:fill="4F81BD"/>
          </w:tcPr>
          <w:p w14:paraId="43BBAFF5" w14:textId="77777777" w:rsidR="009C6C55" w:rsidRPr="00BE698E" w:rsidRDefault="009C6C55" w:rsidP="00F33575">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FFFFFF" w:themeColor="background1"/>
                <w:sz w:val="20"/>
              </w:rPr>
            </w:pPr>
            <w:r w:rsidRPr="00BE698E">
              <w:rPr>
                <w:rFonts w:asciiTheme="majorHAnsi" w:hAnsiTheme="majorHAnsi" w:cstheme="majorHAnsi"/>
                <w:b/>
                <w:color w:val="FFFFFF" w:themeColor="background1"/>
                <w:sz w:val="20"/>
              </w:rPr>
              <w:t>2014</w:t>
            </w:r>
          </w:p>
        </w:tc>
        <w:tc>
          <w:tcPr>
            <w:tcW w:w="679" w:type="dxa"/>
            <w:shd w:val="clear" w:color="auto" w:fill="4F81BD"/>
          </w:tcPr>
          <w:p w14:paraId="125A17C8" w14:textId="77777777" w:rsidR="009C6C55" w:rsidRPr="00BE698E" w:rsidRDefault="009C6C55" w:rsidP="00F33575">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FFFFFF" w:themeColor="background1"/>
                <w:sz w:val="20"/>
              </w:rPr>
            </w:pPr>
            <w:r w:rsidRPr="00BE698E">
              <w:rPr>
                <w:rFonts w:asciiTheme="majorHAnsi" w:hAnsiTheme="majorHAnsi" w:cstheme="majorHAnsi"/>
                <w:b/>
                <w:color w:val="FFFFFF" w:themeColor="background1"/>
                <w:sz w:val="20"/>
              </w:rPr>
              <w:t>2015</w:t>
            </w:r>
          </w:p>
        </w:tc>
        <w:tc>
          <w:tcPr>
            <w:tcW w:w="679" w:type="dxa"/>
            <w:shd w:val="clear" w:color="auto" w:fill="4F81BD"/>
          </w:tcPr>
          <w:p w14:paraId="254F1BF7" w14:textId="77777777" w:rsidR="009C6C55" w:rsidRPr="00BE698E" w:rsidRDefault="009C6C55" w:rsidP="00F33575">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FFFFFF" w:themeColor="background1"/>
                <w:sz w:val="20"/>
              </w:rPr>
            </w:pPr>
            <w:r w:rsidRPr="00BE698E">
              <w:rPr>
                <w:rFonts w:asciiTheme="majorHAnsi" w:hAnsiTheme="majorHAnsi" w:cstheme="majorHAnsi"/>
                <w:b/>
                <w:color w:val="FFFFFF" w:themeColor="background1"/>
                <w:sz w:val="20"/>
              </w:rPr>
              <w:t>2016</w:t>
            </w:r>
          </w:p>
        </w:tc>
        <w:tc>
          <w:tcPr>
            <w:tcW w:w="679" w:type="dxa"/>
            <w:shd w:val="clear" w:color="auto" w:fill="4F81BD"/>
          </w:tcPr>
          <w:p w14:paraId="66F09112" w14:textId="77777777" w:rsidR="009C6C55" w:rsidRPr="00BE698E" w:rsidRDefault="009C6C55" w:rsidP="00F33575">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FFFFFF" w:themeColor="background1"/>
                <w:sz w:val="20"/>
              </w:rPr>
            </w:pPr>
            <w:r w:rsidRPr="00BE698E">
              <w:rPr>
                <w:rFonts w:asciiTheme="majorHAnsi" w:hAnsiTheme="majorHAnsi" w:cstheme="majorHAnsi"/>
                <w:b/>
                <w:color w:val="FFFFFF" w:themeColor="background1"/>
                <w:sz w:val="20"/>
              </w:rPr>
              <w:t>2017</w:t>
            </w:r>
          </w:p>
        </w:tc>
        <w:tc>
          <w:tcPr>
            <w:tcW w:w="679" w:type="dxa"/>
            <w:shd w:val="clear" w:color="auto" w:fill="4F81BD"/>
          </w:tcPr>
          <w:p w14:paraId="35FA3E2D" w14:textId="77777777" w:rsidR="009C6C55" w:rsidRPr="00BE698E" w:rsidRDefault="009C6C55" w:rsidP="00F33575">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FFFFFF" w:themeColor="background1"/>
                <w:sz w:val="20"/>
              </w:rPr>
            </w:pPr>
            <w:r w:rsidRPr="00BE698E">
              <w:rPr>
                <w:rFonts w:asciiTheme="majorHAnsi" w:hAnsiTheme="majorHAnsi" w:cstheme="majorHAnsi"/>
                <w:b/>
                <w:color w:val="FFFFFF" w:themeColor="background1"/>
                <w:sz w:val="20"/>
              </w:rPr>
              <w:t>2018</w:t>
            </w:r>
          </w:p>
        </w:tc>
        <w:tc>
          <w:tcPr>
            <w:tcW w:w="679" w:type="dxa"/>
            <w:shd w:val="clear" w:color="auto" w:fill="4F81BD"/>
          </w:tcPr>
          <w:p w14:paraId="5C3007A2" w14:textId="77777777" w:rsidR="009C6C55" w:rsidRPr="00BE698E" w:rsidRDefault="009C6C55" w:rsidP="00F33575">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FFFFFF" w:themeColor="background1"/>
                <w:sz w:val="20"/>
              </w:rPr>
            </w:pPr>
            <w:r w:rsidRPr="00BE698E">
              <w:rPr>
                <w:rFonts w:asciiTheme="majorHAnsi" w:hAnsiTheme="majorHAnsi" w:cstheme="majorHAnsi"/>
                <w:b/>
                <w:color w:val="FFFFFF" w:themeColor="background1"/>
                <w:sz w:val="20"/>
              </w:rPr>
              <w:t>2019</w:t>
            </w:r>
          </w:p>
        </w:tc>
        <w:tc>
          <w:tcPr>
            <w:tcW w:w="679" w:type="dxa"/>
            <w:shd w:val="clear" w:color="auto" w:fill="4F81BD"/>
          </w:tcPr>
          <w:p w14:paraId="39A1B00A" w14:textId="77777777" w:rsidR="009C6C55" w:rsidRPr="00BE698E" w:rsidRDefault="009C6C55" w:rsidP="00F33575">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FFFFFF" w:themeColor="background1"/>
                <w:sz w:val="20"/>
              </w:rPr>
            </w:pPr>
            <w:r w:rsidRPr="00BE698E">
              <w:rPr>
                <w:rFonts w:asciiTheme="majorHAnsi" w:hAnsiTheme="majorHAnsi" w:cstheme="majorHAnsi"/>
                <w:b/>
                <w:color w:val="FFFFFF" w:themeColor="background1"/>
                <w:sz w:val="20"/>
              </w:rPr>
              <w:t>2020</w:t>
            </w:r>
          </w:p>
        </w:tc>
        <w:tc>
          <w:tcPr>
            <w:tcW w:w="679" w:type="dxa"/>
            <w:shd w:val="clear" w:color="auto" w:fill="4F81BD"/>
          </w:tcPr>
          <w:p w14:paraId="0AEB2F7A" w14:textId="77777777" w:rsidR="009C6C55" w:rsidRPr="00BE698E" w:rsidRDefault="009C6C55" w:rsidP="00F33575">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FFFFFF" w:themeColor="background1"/>
                <w:sz w:val="20"/>
              </w:rPr>
            </w:pPr>
            <w:r w:rsidRPr="00BE698E">
              <w:rPr>
                <w:rFonts w:asciiTheme="majorHAnsi" w:hAnsiTheme="majorHAnsi" w:cstheme="majorHAnsi"/>
                <w:b/>
                <w:color w:val="FFFFFF" w:themeColor="background1"/>
                <w:sz w:val="20"/>
              </w:rPr>
              <w:t>2021</w:t>
            </w:r>
          </w:p>
        </w:tc>
      </w:tr>
      <w:tr w:rsidR="009C6C55" w14:paraId="7C618589" w14:textId="77777777" w:rsidTr="00B0666C">
        <w:tc>
          <w:tcPr>
            <w:cnfStyle w:val="001000000000" w:firstRow="0" w:lastRow="0" w:firstColumn="1" w:lastColumn="0" w:oddVBand="0" w:evenVBand="0" w:oddHBand="0" w:evenHBand="0" w:firstRowFirstColumn="0" w:firstRowLastColumn="0" w:lastRowFirstColumn="0" w:lastRowLastColumn="0"/>
            <w:tcW w:w="2093" w:type="dxa"/>
          </w:tcPr>
          <w:p w14:paraId="52A509D1" w14:textId="77777777" w:rsidR="009C6C55" w:rsidRPr="004D5ACA" w:rsidRDefault="009C6C55" w:rsidP="00F33575">
            <w:pPr>
              <w:spacing w:before="0" w:after="0" w:line="240" w:lineRule="auto"/>
              <w:rPr>
                <w:b/>
                <w:sz w:val="16"/>
                <w:szCs w:val="16"/>
              </w:rPr>
            </w:pPr>
            <w:r w:rsidRPr="004D5ACA">
              <w:rPr>
                <w:b/>
                <w:sz w:val="16"/>
                <w:szCs w:val="16"/>
              </w:rPr>
              <w:t>Hrubý domácí produkt</w:t>
            </w:r>
          </w:p>
        </w:tc>
        <w:tc>
          <w:tcPr>
            <w:tcW w:w="515" w:type="dxa"/>
          </w:tcPr>
          <w:p w14:paraId="20767CC1" w14:textId="77777777" w:rsidR="009C6C55" w:rsidRPr="004D5ACA"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rPr>
            </w:pPr>
            <w:r w:rsidRPr="004D5ACA">
              <w:rPr>
                <w:rFonts w:asciiTheme="majorHAnsi" w:hAnsiTheme="majorHAnsi" w:cstheme="majorHAnsi"/>
                <w:sz w:val="16"/>
                <w:szCs w:val="16"/>
              </w:rPr>
              <w:t>v %</w:t>
            </w:r>
          </w:p>
        </w:tc>
        <w:tc>
          <w:tcPr>
            <w:tcW w:w="679" w:type="dxa"/>
          </w:tcPr>
          <w:p w14:paraId="7C9CCC2E"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-0,5</w:t>
            </w:r>
          </w:p>
        </w:tc>
        <w:tc>
          <w:tcPr>
            <w:tcW w:w="679" w:type="dxa"/>
          </w:tcPr>
          <w:p w14:paraId="2651F946"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2,7</w:t>
            </w:r>
          </w:p>
        </w:tc>
        <w:tc>
          <w:tcPr>
            <w:tcW w:w="679" w:type="dxa"/>
          </w:tcPr>
          <w:p w14:paraId="31D4AFF2"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5,3</w:t>
            </w:r>
          </w:p>
        </w:tc>
        <w:tc>
          <w:tcPr>
            <w:tcW w:w="679" w:type="dxa"/>
          </w:tcPr>
          <w:p w14:paraId="476EB5A0"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2,5</w:t>
            </w:r>
          </w:p>
        </w:tc>
        <w:tc>
          <w:tcPr>
            <w:tcW w:w="679" w:type="dxa"/>
          </w:tcPr>
          <w:p w14:paraId="7D3A8560"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4,4</w:t>
            </w:r>
          </w:p>
        </w:tc>
        <w:tc>
          <w:tcPr>
            <w:tcW w:w="679" w:type="dxa"/>
          </w:tcPr>
          <w:p w14:paraId="491BB44D"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3,0</w:t>
            </w:r>
          </w:p>
        </w:tc>
        <w:tc>
          <w:tcPr>
            <w:tcW w:w="679" w:type="dxa"/>
          </w:tcPr>
          <w:p w14:paraId="46E0D4B3"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2,9</w:t>
            </w:r>
          </w:p>
        </w:tc>
        <w:tc>
          <w:tcPr>
            <w:tcW w:w="679" w:type="dxa"/>
          </w:tcPr>
          <w:p w14:paraId="3A4CB1FE"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2,7</w:t>
            </w:r>
          </w:p>
        </w:tc>
        <w:tc>
          <w:tcPr>
            <w:tcW w:w="679" w:type="dxa"/>
          </w:tcPr>
          <w:p w14:paraId="2B552462"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2,5</w:t>
            </w:r>
          </w:p>
        </w:tc>
      </w:tr>
      <w:tr w:rsidR="009C6C55" w14:paraId="4548B6E3" w14:textId="77777777" w:rsidTr="00B0666C">
        <w:tc>
          <w:tcPr>
            <w:cnfStyle w:val="001000000000" w:firstRow="0" w:lastRow="0" w:firstColumn="1" w:lastColumn="0" w:oddVBand="0" w:evenVBand="0" w:oddHBand="0" w:evenHBand="0" w:firstRowFirstColumn="0" w:firstRowLastColumn="0" w:lastRowFirstColumn="0" w:lastRowLastColumn="0"/>
            <w:tcW w:w="2093" w:type="dxa"/>
          </w:tcPr>
          <w:p w14:paraId="444CD2FA" w14:textId="77777777" w:rsidR="009C6C55" w:rsidRPr="004D5ACA" w:rsidRDefault="009C6C55" w:rsidP="00F33575">
            <w:pPr>
              <w:spacing w:before="0" w:after="0" w:line="240" w:lineRule="auto"/>
              <w:rPr>
                <w:b/>
                <w:sz w:val="16"/>
                <w:szCs w:val="16"/>
              </w:rPr>
            </w:pPr>
            <w:r>
              <w:rPr>
                <w:b/>
                <w:sz w:val="16"/>
                <w:szCs w:val="16"/>
              </w:rPr>
              <w:t>Spotřeba domácností</w:t>
            </w:r>
          </w:p>
        </w:tc>
        <w:tc>
          <w:tcPr>
            <w:tcW w:w="515" w:type="dxa"/>
          </w:tcPr>
          <w:p w14:paraId="5246A48D" w14:textId="77777777" w:rsidR="009C6C55" w:rsidRPr="004D5ACA"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rPr>
            </w:pPr>
            <w:r w:rsidRPr="004D5ACA">
              <w:rPr>
                <w:rFonts w:asciiTheme="majorHAnsi" w:hAnsiTheme="majorHAnsi" w:cstheme="majorHAnsi"/>
                <w:sz w:val="16"/>
                <w:szCs w:val="16"/>
              </w:rPr>
              <w:t>v %</w:t>
            </w:r>
          </w:p>
        </w:tc>
        <w:tc>
          <w:tcPr>
            <w:tcW w:w="679" w:type="dxa"/>
          </w:tcPr>
          <w:p w14:paraId="7B2385FE"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0,5</w:t>
            </w:r>
          </w:p>
        </w:tc>
        <w:tc>
          <w:tcPr>
            <w:tcW w:w="679" w:type="dxa"/>
          </w:tcPr>
          <w:p w14:paraId="1CD85A23"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1,8</w:t>
            </w:r>
          </w:p>
        </w:tc>
        <w:tc>
          <w:tcPr>
            <w:tcW w:w="679" w:type="dxa"/>
          </w:tcPr>
          <w:p w14:paraId="3306A3BE"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3,8</w:t>
            </w:r>
          </w:p>
        </w:tc>
        <w:tc>
          <w:tcPr>
            <w:tcW w:w="679" w:type="dxa"/>
          </w:tcPr>
          <w:p w14:paraId="20C47E40"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3,6</w:t>
            </w:r>
          </w:p>
        </w:tc>
        <w:tc>
          <w:tcPr>
            <w:tcW w:w="679" w:type="dxa"/>
          </w:tcPr>
          <w:p w14:paraId="2D2C2901"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4,2</w:t>
            </w:r>
          </w:p>
        </w:tc>
        <w:tc>
          <w:tcPr>
            <w:tcW w:w="679" w:type="dxa"/>
          </w:tcPr>
          <w:p w14:paraId="122DD758"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3,6</w:t>
            </w:r>
          </w:p>
        </w:tc>
        <w:tc>
          <w:tcPr>
            <w:tcW w:w="679" w:type="dxa"/>
          </w:tcPr>
          <w:p w14:paraId="03AB057E"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3,6</w:t>
            </w:r>
          </w:p>
        </w:tc>
        <w:tc>
          <w:tcPr>
            <w:tcW w:w="679" w:type="dxa"/>
          </w:tcPr>
          <w:p w14:paraId="52FE60EE"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2,9</w:t>
            </w:r>
          </w:p>
        </w:tc>
        <w:tc>
          <w:tcPr>
            <w:tcW w:w="679" w:type="dxa"/>
          </w:tcPr>
          <w:p w14:paraId="03D9601C"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2,7</w:t>
            </w:r>
          </w:p>
        </w:tc>
      </w:tr>
      <w:tr w:rsidR="009C6C55" w14:paraId="192C176A" w14:textId="77777777" w:rsidTr="00B0666C">
        <w:tc>
          <w:tcPr>
            <w:cnfStyle w:val="001000000000" w:firstRow="0" w:lastRow="0" w:firstColumn="1" w:lastColumn="0" w:oddVBand="0" w:evenVBand="0" w:oddHBand="0" w:evenHBand="0" w:firstRowFirstColumn="0" w:firstRowLastColumn="0" w:lastRowFirstColumn="0" w:lastRowLastColumn="0"/>
            <w:tcW w:w="2093" w:type="dxa"/>
            <w:tcBorders>
              <w:left w:val="single" w:sz="4" w:space="0" w:color="auto"/>
              <w:bottom w:val="single" w:sz="4" w:space="0" w:color="auto"/>
              <w:right w:val="single" w:sz="4" w:space="0" w:color="auto"/>
            </w:tcBorders>
          </w:tcPr>
          <w:p w14:paraId="119CFC75" w14:textId="77777777" w:rsidR="009C6C55" w:rsidRPr="004D5ACA" w:rsidRDefault="009C6C55" w:rsidP="00F33575">
            <w:pPr>
              <w:spacing w:before="0" w:after="0" w:line="240" w:lineRule="auto"/>
              <w:rPr>
                <w:b/>
                <w:sz w:val="16"/>
                <w:szCs w:val="16"/>
              </w:rPr>
            </w:pPr>
            <w:r>
              <w:rPr>
                <w:b/>
                <w:sz w:val="16"/>
                <w:szCs w:val="16"/>
              </w:rPr>
              <w:t>Spotřeba vládních institucí</w:t>
            </w:r>
          </w:p>
        </w:tc>
        <w:tc>
          <w:tcPr>
            <w:tcW w:w="515" w:type="dxa"/>
            <w:tcBorders>
              <w:left w:val="single" w:sz="4" w:space="0" w:color="auto"/>
              <w:bottom w:val="single" w:sz="4" w:space="0" w:color="auto"/>
              <w:right w:val="single" w:sz="4" w:space="0" w:color="auto"/>
            </w:tcBorders>
          </w:tcPr>
          <w:p w14:paraId="4E8DCDC0" w14:textId="77777777" w:rsidR="009C6C55" w:rsidRPr="004D5ACA"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rPr>
            </w:pPr>
            <w:r w:rsidRPr="004D5ACA">
              <w:rPr>
                <w:rFonts w:asciiTheme="majorHAnsi" w:hAnsiTheme="majorHAnsi" w:cstheme="majorHAnsi"/>
                <w:sz w:val="16"/>
                <w:szCs w:val="16"/>
              </w:rPr>
              <w:t>v %</w:t>
            </w:r>
          </w:p>
        </w:tc>
        <w:tc>
          <w:tcPr>
            <w:tcW w:w="679" w:type="dxa"/>
            <w:tcBorders>
              <w:left w:val="single" w:sz="4" w:space="0" w:color="auto"/>
              <w:bottom w:val="single" w:sz="4" w:space="0" w:color="auto"/>
              <w:right w:val="single" w:sz="4" w:space="0" w:color="auto"/>
            </w:tcBorders>
          </w:tcPr>
          <w:p w14:paraId="311B0FE6"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2,5</w:t>
            </w:r>
          </w:p>
        </w:tc>
        <w:tc>
          <w:tcPr>
            <w:tcW w:w="679" w:type="dxa"/>
            <w:tcBorders>
              <w:left w:val="single" w:sz="4" w:space="0" w:color="auto"/>
              <w:bottom w:val="single" w:sz="4" w:space="0" w:color="auto"/>
              <w:right w:val="single" w:sz="4" w:space="0" w:color="auto"/>
            </w:tcBorders>
          </w:tcPr>
          <w:p w14:paraId="763DB987"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1,1</w:t>
            </w:r>
          </w:p>
        </w:tc>
        <w:tc>
          <w:tcPr>
            <w:tcW w:w="679" w:type="dxa"/>
            <w:tcBorders>
              <w:left w:val="single" w:sz="4" w:space="0" w:color="auto"/>
              <w:bottom w:val="single" w:sz="4" w:space="0" w:color="auto"/>
              <w:right w:val="single" w:sz="4" w:space="0" w:color="auto"/>
            </w:tcBorders>
          </w:tcPr>
          <w:p w14:paraId="39035B1E"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1,9</w:t>
            </w:r>
          </w:p>
        </w:tc>
        <w:tc>
          <w:tcPr>
            <w:tcW w:w="679" w:type="dxa"/>
            <w:tcBorders>
              <w:left w:val="single" w:sz="4" w:space="0" w:color="auto"/>
              <w:bottom w:val="single" w:sz="4" w:space="0" w:color="auto"/>
              <w:right w:val="single" w:sz="4" w:space="0" w:color="auto"/>
            </w:tcBorders>
          </w:tcPr>
          <w:p w14:paraId="50CB571A"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2,7</w:t>
            </w:r>
          </w:p>
        </w:tc>
        <w:tc>
          <w:tcPr>
            <w:tcW w:w="679" w:type="dxa"/>
            <w:tcBorders>
              <w:left w:val="single" w:sz="4" w:space="0" w:color="auto"/>
              <w:bottom w:val="single" w:sz="4" w:space="0" w:color="auto"/>
              <w:right w:val="single" w:sz="4" w:space="0" w:color="auto"/>
            </w:tcBorders>
          </w:tcPr>
          <w:p w14:paraId="23D96C0B"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1,3</w:t>
            </w:r>
          </w:p>
        </w:tc>
        <w:tc>
          <w:tcPr>
            <w:tcW w:w="679" w:type="dxa"/>
            <w:tcBorders>
              <w:left w:val="single" w:sz="4" w:space="0" w:color="auto"/>
              <w:bottom w:val="single" w:sz="4" w:space="0" w:color="auto"/>
              <w:right w:val="single" w:sz="4" w:space="0" w:color="auto"/>
            </w:tcBorders>
          </w:tcPr>
          <w:p w14:paraId="6712B58A"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2,5</w:t>
            </w:r>
          </w:p>
        </w:tc>
        <w:tc>
          <w:tcPr>
            <w:tcW w:w="679" w:type="dxa"/>
            <w:tcBorders>
              <w:left w:val="single" w:sz="4" w:space="0" w:color="auto"/>
              <w:bottom w:val="single" w:sz="4" w:space="0" w:color="auto"/>
              <w:right w:val="single" w:sz="4" w:space="0" w:color="auto"/>
            </w:tcBorders>
          </w:tcPr>
          <w:p w14:paraId="53CB5D47"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2,1</w:t>
            </w:r>
          </w:p>
        </w:tc>
        <w:tc>
          <w:tcPr>
            <w:tcW w:w="679" w:type="dxa"/>
            <w:tcBorders>
              <w:left w:val="single" w:sz="4" w:space="0" w:color="auto"/>
              <w:bottom w:val="single" w:sz="4" w:space="0" w:color="auto"/>
              <w:right w:val="single" w:sz="4" w:space="0" w:color="auto"/>
            </w:tcBorders>
          </w:tcPr>
          <w:p w14:paraId="3BC64715"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1,9</w:t>
            </w:r>
          </w:p>
        </w:tc>
        <w:tc>
          <w:tcPr>
            <w:tcW w:w="679" w:type="dxa"/>
            <w:tcBorders>
              <w:left w:val="single" w:sz="4" w:space="0" w:color="auto"/>
              <w:bottom w:val="single" w:sz="4" w:space="0" w:color="auto"/>
            </w:tcBorders>
          </w:tcPr>
          <w:p w14:paraId="40A1C5BF"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1,9</w:t>
            </w:r>
          </w:p>
        </w:tc>
      </w:tr>
      <w:tr w:rsidR="009C6C55" w14:paraId="2DF38C8A" w14:textId="77777777" w:rsidTr="00B0666C">
        <w:tc>
          <w:tcPr>
            <w:cnfStyle w:val="001000000000" w:firstRow="0" w:lastRow="0" w:firstColumn="1" w:lastColumn="0" w:oddVBand="0" w:evenVBand="0" w:oddHBand="0" w:evenHBand="0" w:firstRowFirstColumn="0" w:firstRowLastColumn="0" w:lastRowFirstColumn="0" w:lastRowLastColumn="0"/>
            <w:tcW w:w="2093" w:type="dxa"/>
            <w:tcBorders>
              <w:left w:val="single" w:sz="4" w:space="0" w:color="auto"/>
              <w:bottom w:val="single" w:sz="4" w:space="0" w:color="auto"/>
              <w:right w:val="single" w:sz="4" w:space="0" w:color="auto"/>
            </w:tcBorders>
          </w:tcPr>
          <w:p w14:paraId="4B8B0DFB" w14:textId="77777777" w:rsidR="009C6C55" w:rsidRPr="004D5ACA" w:rsidRDefault="009C6C55" w:rsidP="00F33575">
            <w:pPr>
              <w:spacing w:before="0" w:after="0" w:line="240" w:lineRule="auto"/>
              <w:rPr>
                <w:b/>
                <w:sz w:val="16"/>
                <w:szCs w:val="16"/>
              </w:rPr>
            </w:pPr>
            <w:r>
              <w:rPr>
                <w:b/>
                <w:sz w:val="16"/>
                <w:szCs w:val="16"/>
              </w:rPr>
              <w:t>Tvorba hr. fixního kapitálu</w:t>
            </w:r>
          </w:p>
        </w:tc>
        <w:tc>
          <w:tcPr>
            <w:tcW w:w="515" w:type="dxa"/>
            <w:tcBorders>
              <w:left w:val="single" w:sz="4" w:space="0" w:color="auto"/>
              <w:bottom w:val="single" w:sz="4" w:space="0" w:color="auto"/>
              <w:right w:val="single" w:sz="4" w:space="0" w:color="auto"/>
            </w:tcBorders>
          </w:tcPr>
          <w:p w14:paraId="30A4332C" w14:textId="77777777" w:rsidR="009C6C55" w:rsidRPr="004D5ACA"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rPr>
            </w:pPr>
            <w:r w:rsidRPr="004D5ACA">
              <w:rPr>
                <w:rFonts w:asciiTheme="majorHAnsi" w:hAnsiTheme="majorHAnsi" w:cstheme="majorHAnsi"/>
                <w:sz w:val="16"/>
                <w:szCs w:val="16"/>
              </w:rPr>
              <w:t>v %</w:t>
            </w:r>
          </w:p>
        </w:tc>
        <w:tc>
          <w:tcPr>
            <w:tcW w:w="679" w:type="dxa"/>
            <w:tcBorders>
              <w:left w:val="single" w:sz="4" w:space="0" w:color="auto"/>
              <w:bottom w:val="single" w:sz="4" w:space="0" w:color="auto"/>
              <w:right w:val="single" w:sz="4" w:space="0" w:color="auto"/>
            </w:tcBorders>
          </w:tcPr>
          <w:p w14:paraId="264BE26C"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-2,5</w:t>
            </w:r>
          </w:p>
        </w:tc>
        <w:tc>
          <w:tcPr>
            <w:tcW w:w="679" w:type="dxa"/>
            <w:tcBorders>
              <w:left w:val="single" w:sz="4" w:space="0" w:color="auto"/>
              <w:bottom w:val="single" w:sz="4" w:space="0" w:color="auto"/>
              <w:right w:val="single" w:sz="4" w:space="0" w:color="auto"/>
            </w:tcBorders>
          </w:tcPr>
          <w:p w14:paraId="483A0EFE"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3,9</w:t>
            </w:r>
          </w:p>
        </w:tc>
        <w:tc>
          <w:tcPr>
            <w:tcW w:w="679" w:type="dxa"/>
            <w:tcBorders>
              <w:left w:val="single" w:sz="4" w:space="0" w:color="auto"/>
              <w:bottom w:val="single" w:sz="4" w:space="0" w:color="auto"/>
              <w:right w:val="single" w:sz="4" w:space="0" w:color="auto"/>
            </w:tcBorders>
          </w:tcPr>
          <w:p w14:paraId="765E043B"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10,2</w:t>
            </w:r>
          </w:p>
        </w:tc>
        <w:tc>
          <w:tcPr>
            <w:tcW w:w="679" w:type="dxa"/>
            <w:tcBorders>
              <w:left w:val="single" w:sz="4" w:space="0" w:color="auto"/>
              <w:bottom w:val="single" w:sz="4" w:space="0" w:color="auto"/>
              <w:right w:val="single" w:sz="4" w:space="0" w:color="auto"/>
            </w:tcBorders>
          </w:tcPr>
          <w:p w14:paraId="0FD54319"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-3,1</w:t>
            </w:r>
          </w:p>
        </w:tc>
        <w:tc>
          <w:tcPr>
            <w:tcW w:w="679" w:type="dxa"/>
            <w:tcBorders>
              <w:left w:val="single" w:sz="4" w:space="0" w:color="auto"/>
              <w:bottom w:val="single" w:sz="4" w:space="0" w:color="auto"/>
              <w:right w:val="single" w:sz="4" w:space="0" w:color="auto"/>
            </w:tcBorders>
          </w:tcPr>
          <w:p w14:paraId="037BCCB5"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3,7</w:t>
            </w:r>
          </w:p>
        </w:tc>
        <w:tc>
          <w:tcPr>
            <w:tcW w:w="679" w:type="dxa"/>
            <w:tcBorders>
              <w:left w:val="single" w:sz="4" w:space="0" w:color="auto"/>
              <w:bottom w:val="single" w:sz="4" w:space="0" w:color="auto"/>
              <w:right w:val="single" w:sz="4" w:space="0" w:color="auto"/>
            </w:tcBorders>
          </w:tcPr>
          <w:p w14:paraId="3F68FF31"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7,8</w:t>
            </w:r>
          </w:p>
        </w:tc>
        <w:tc>
          <w:tcPr>
            <w:tcW w:w="679" w:type="dxa"/>
            <w:tcBorders>
              <w:left w:val="single" w:sz="4" w:space="0" w:color="auto"/>
              <w:bottom w:val="single" w:sz="4" w:space="0" w:color="auto"/>
              <w:right w:val="single" w:sz="4" w:space="0" w:color="auto"/>
            </w:tcBorders>
          </w:tcPr>
          <w:p w14:paraId="3A12C08F"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3,2</w:t>
            </w:r>
          </w:p>
        </w:tc>
        <w:tc>
          <w:tcPr>
            <w:tcW w:w="679" w:type="dxa"/>
            <w:tcBorders>
              <w:left w:val="single" w:sz="4" w:space="0" w:color="auto"/>
              <w:bottom w:val="single" w:sz="4" w:space="0" w:color="auto"/>
              <w:right w:val="single" w:sz="4" w:space="0" w:color="auto"/>
            </w:tcBorders>
          </w:tcPr>
          <w:p w14:paraId="7C720BE8"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2,9</w:t>
            </w:r>
          </w:p>
        </w:tc>
        <w:tc>
          <w:tcPr>
            <w:tcW w:w="679" w:type="dxa"/>
            <w:tcBorders>
              <w:left w:val="single" w:sz="4" w:space="0" w:color="auto"/>
              <w:bottom w:val="single" w:sz="4" w:space="0" w:color="auto"/>
            </w:tcBorders>
          </w:tcPr>
          <w:p w14:paraId="3E3FBAF1"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2,8</w:t>
            </w:r>
          </w:p>
        </w:tc>
      </w:tr>
      <w:tr w:rsidR="009C6C55" w14:paraId="4E6D5DF4" w14:textId="77777777" w:rsidTr="00B0666C">
        <w:tc>
          <w:tcPr>
            <w:cnfStyle w:val="001000000000" w:firstRow="0" w:lastRow="0" w:firstColumn="1" w:lastColumn="0" w:oddVBand="0" w:evenVBand="0" w:oddHBand="0" w:evenHBand="0" w:firstRowFirstColumn="0" w:firstRowLastColumn="0" w:lastRowFirstColumn="0" w:lastRowLastColumn="0"/>
            <w:tcW w:w="2093" w:type="dxa"/>
            <w:tcBorders>
              <w:left w:val="single" w:sz="4" w:space="0" w:color="auto"/>
              <w:bottom w:val="single" w:sz="4" w:space="0" w:color="auto"/>
              <w:right w:val="single" w:sz="4" w:space="0" w:color="auto"/>
            </w:tcBorders>
          </w:tcPr>
          <w:p w14:paraId="73634D91" w14:textId="77777777" w:rsidR="009C6C55" w:rsidRPr="004D5ACA" w:rsidRDefault="009C6C55" w:rsidP="00F33575">
            <w:pPr>
              <w:spacing w:before="0" w:after="0" w:line="240" w:lineRule="auto"/>
              <w:rPr>
                <w:b/>
                <w:sz w:val="16"/>
                <w:szCs w:val="16"/>
              </w:rPr>
            </w:pPr>
            <w:r>
              <w:rPr>
                <w:b/>
                <w:sz w:val="16"/>
                <w:szCs w:val="16"/>
              </w:rPr>
              <w:t>Průměrná míra inflace</w:t>
            </w:r>
          </w:p>
        </w:tc>
        <w:tc>
          <w:tcPr>
            <w:tcW w:w="515" w:type="dxa"/>
            <w:tcBorders>
              <w:left w:val="single" w:sz="4" w:space="0" w:color="auto"/>
              <w:bottom w:val="single" w:sz="4" w:space="0" w:color="auto"/>
              <w:right w:val="single" w:sz="4" w:space="0" w:color="auto"/>
            </w:tcBorders>
          </w:tcPr>
          <w:p w14:paraId="43A39FCC" w14:textId="77777777" w:rsidR="009C6C55" w:rsidRPr="004D5ACA"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rPr>
            </w:pPr>
            <w:r w:rsidRPr="004D5ACA">
              <w:rPr>
                <w:rFonts w:asciiTheme="majorHAnsi" w:hAnsiTheme="majorHAnsi" w:cstheme="majorHAnsi"/>
                <w:sz w:val="16"/>
                <w:szCs w:val="16"/>
              </w:rPr>
              <w:t>v %</w:t>
            </w:r>
          </w:p>
        </w:tc>
        <w:tc>
          <w:tcPr>
            <w:tcW w:w="679" w:type="dxa"/>
            <w:tcBorders>
              <w:left w:val="single" w:sz="4" w:space="0" w:color="auto"/>
              <w:bottom w:val="single" w:sz="4" w:space="0" w:color="auto"/>
              <w:right w:val="single" w:sz="4" w:space="0" w:color="auto"/>
            </w:tcBorders>
          </w:tcPr>
          <w:p w14:paraId="77363324"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1,4</w:t>
            </w:r>
          </w:p>
        </w:tc>
        <w:tc>
          <w:tcPr>
            <w:tcW w:w="679" w:type="dxa"/>
            <w:tcBorders>
              <w:left w:val="single" w:sz="4" w:space="0" w:color="auto"/>
              <w:bottom w:val="single" w:sz="4" w:space="0" w:color="auto"/>
              <w:right w:val="single" w:sz="4" w:space="0" w:color="auto"/>
            </w:tcBorders>
          </w:tcPr>
          <w:p w14:paraId="7554EAB4"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0,4</w:t>
            </w:r>
          </w:p>
        </w:tc>
        <w:tc>
          <w:tcPr>
            <w:tcW w:w="679" w:type="dxa"/>
            <w:tcBorders>
              <w:left w:val="single" w:sz="4" w:space="0" w:color="auto"/>
              <w:bottom w:val="single" w:sz="4" w:space="0" w:color="auto"/>
              <w:right w:val="single" w:sz="4" w:space="0" w:color="auto"/>
            </w:tcBorders>
          </w:tcPr>
          <w:p w14:paraId="55BCFAB1"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0,3</w:t>
            </w:r>
          </w:p>
        </w:tc>
        <w:tc>
          <w:tcPr>
            <w:tcW w:w="679" w:type="dxa"/>
            <w:tcBorders>
              <w:left w:val="single" w:sz="4" w:space="0" w:color="auto"/>
              <w:bottom w:val="single" w:sz="4" w:space="0" w:color="auto"/>
              <w:right w:val="single" w:sz="4" w:space="0" w:color="auto"/>
            </w:tcBorders>
          </w:tcPr>
          <w:p w14:paraId="4DEA4984"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0,7</w:t>
            </w:r>
          </w:p>
        </w:tc>
        <w:tc>
          <w:tcPr>
            <w:tcW w:w="679" w:type="dxa"/>
            <w:tcBorders>
              <w:left w:val="single" w:sz="4" w:space="0" w:color="auto"/>
              <w:bottom w:val="single" w:sz="4" w:space="0" w:color="auto"/>
              <w:right w:val="single" w:sz="4" w:space="0" w:color="auto"/>
            </w:tcBorders>
          </w:tcPr>
          <w:p w14:paraId="30133867"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2,5</w:t>
            </w:r>
          </w:p>
        </w:tc>
        <w:tc>
          <w:tcPr>
            <w:tcW w:w="679" w:type="dxa"/>
            <w:tcBorders>
              <w:left w:val="single" w:sz="4" w:space="0" w:color="auto"/>
              <w:bottom w:val="single" w:sz="4" w:space="0" w:color="auto"/>
              <w:right w:val="single" w:sz="4" w:space="0" w:color="auto"/>
            </w:tcBorders>
          </w:tcPr>
          <w:p w14:paraId="6C678D06"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*2,1</w:t>
            </w:r>
          </w:p>
        </w:tc>
        <w:tc>
          <w:tcPr>
            <w:tcW w:w="679" w:type="dxa"/>
            <w:tcBorders>
              <w:left w:val="single" w:sz="4" w:space="0" w:color="auto"/>
              <w:bottom w:val="single" w:sz="4" w:space="0" w:color="auto"/>
              <w:right w:val="single" w:sz="4" w:space="0" w:color="auto"/>
            </w:tcBorders>
          </w:tcPr>
          <w:p w14:paraId="5B9A1591"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2,3</w:t>
            </w:r>
          </w:p>
        </w:tc>
        <w:tc>
          <w:tcPr>
            <w:tcW w:w="679" w:type="dxa"/>
            <w:tcBorders>
              <w:left w:val="single" w:sz="4" w:space="0" w:color="auto"/>
              <w:bottom w:val="single" w:sz="4" w:space="0" w:color="auto"/>
              <w:right w:val="single" w:sz="4" w:space="0" w:color="auto"/>
            </w:tcBorders>
          </w:tcPr>
          <w:p w14:paraId="413A3537"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1,9</w:t>
            </w:r>
          </w:p>
        </w:tc>
        <w:tc>
          <w:tcPr>
            <w:tcW w:w="679" w:type="dxa"/>
            <w:tcBorders>
              <w:left w:val="single" w:sz="4" w:space="0" w:color="auto"/>
              <w:bottom w:val="single" w:sz="4" w:space="0" w:color="auto"/>
            </w:tcBorders>
          </w:tcPr>
          <w:p w14:paraId="71185B24"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1,8</w:t>
            </w:r>
          </w:p>
        </w:tc>
      </w:tr>
      <w:tr w:rsidR="009C6C55" w14:paraId="1BEBF000" w14:textId="77777777" w:rsidTr="00B0666C">
        <w:tc>
          <w:tcPr>
            <w:cnfStyle w:val="001000000000" w:firstRow="0" w:lastRow="0" w:firstColumn="1" w:lastColumn="0" w:oddVBand="0" w:evenVBand="0" w:oddHBand="0" w:evenHBand="0" w:firstRowFirstColumn="0" w:firstRowLastColumn="0" w:lastRowFirstColumn="0" w:lastRowLastColumn="0"/>
            <w:tcW w:w="2093" w:type="dxa"/>
            <w:tcBorders>
              <w:left w:val="single" w:sz="4" w:space="0" w:color="auto"/>
              <w:bottom w:val="single" w:sz="4" w:space="0" w:color="auto"/>
              <w:right w:val="single" w:sz="4" w:space="0" w:color="auto"/>
            </w:tcBorders>
          </w:tcPr>
          <w:p w14:paraId="54BA2671" w14:textId="77777777" w:rsidR="009C6C55" w:rsidRPr="004D5ACA" w:rsidRDefault="009C6C55" w:rsidP="00F33575">
            <w:pPr>
              <w:spacing w:before="0" w:after="0" w:line="240" w:lineRule="auto"/>
              <w:rPr>
                <w:b/>
                <w:sz w:val="16"/>
                <w:szCs w:val="16"/>
              </w:rPr>
            </w:pPr>
            <w:r>
              <w:rPr>
                <w:b/>
                <w:sz w:val="16"/>
                <w:szCs w:val="16"/>
              </w:rPr>
              <w:t>Míra nezaměstnanosti</w:t>
            </w:r>
          </w:p>
        </w:tc>
        <w:tc>
          <w:tcPr>
            <w:tcW w:w="515" w:type="dxa"/>
            <w:tcBorders>
              <w:left w:val="single" w:sz="4" w:space="0" w:color="auto"/>
              <w:bottom w:val="single" w:sz="4" w:space="0" w:color="auto"/>
              <w:right w:val="single" w:sz="4" w:space="0" w:color="auto"/>
            </w:tcBorders>
          </w:tcPr>
          <w:p w14:paraId="04619DDD" w14:textId="77777777" w:rsidR="009C6C55" w:rsidRPr="004D5ACA"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rPr>
            </w:pPr>
            <w:r w:rsidRPr="004D5ACA">
              <w:rPr>
                <w:rFonts w:asciiTheme="majorHAnsi" w:hAnsiTheme="majorHAnsi" w:cstheme="majorHAnsi"/>
                <w:sz w:val="16"/>
                <w:szCs w:val="16"/>
              </w:rPr>
              <w:t>v %</w:t>
            </w:r>
          </w:p>
        </w:tc>
        <w:tc>
          <w:tcPr>
            <w:tcW w:w="679" w:type="dxa"/>
            <w:tcBorders>
              <w:left w:val="single" w:sz="4" w:space="0" w:color="auto"/>
              <w:bottom w:val="single" w:sz="4" w:space="0" w:color="auto"/>
              <w:right w:val="single" w:sz="4" w:space="0" w:color="auto"/>
            </w:tcBorders>
          </w:tcPr>
          <w:p w14:paraId="2FF1CE79"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7,0</w:t>
            </w:r>
          </w:p>
        </w:tc>
        <w:tc>
          <w:tcPr>
            <w:tcW w:w="679" w:type="dxa"/>
            <w:tcBorders>
              <w:left w:val="single" w:sz="4" w:space="0" w:color="auto"/>
              <w:bottom w:val="single" w:sz="4" w:space="0" w:color="auto"/>
              <w:right w:val="single" w:sz="4" w:space="0" w:color="auto"/>
            </w:tcBorders>
          </w:tcPr>
          <w:p w14:paraId="6A8AD1B8"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6,1</w:t>
            </w:r>
          </w:p>
        </w:tc>
        <w:tc>
          <w:tcPr>
            <w:tcW w:w="679" w:type="dxa"/>
            <w:tcBorders>
              <w:left w:val="single" w:sz="4" w:space="0" w:color="auto"/>
              <w:bottom w:val="single" w:sz="4" w:space="0" w:color="auto"/>
              <w:right w:val="single" w:sz="4" w:space="0" w:color="auto"/>
            </w:tcBorders>
          </w:tcPr>
          <w:p w14:paraId="6A9C70E9"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5,0</w:t>
            </w:r>
          </w:p>
        </w:tc>
        <w:tc>
          <w:tcPr>
            <w:tcW w:w="679" w:type="dxa"/>
            <w:tcBorders>
              <w:left w:val="single" w:sz="4" w:space="0" w:color="auto"/>
              <w:bottom w:val="single" w:sz="4" w:space="0" w:color="auto"/>
              <w:right w:val="single" w:sz="4" w:space="0" w:color="auto"/>
            </w:tcBorders>
          </w:tcPr>
          <w:p w14:paraId="0EA47829"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4,0</w:t>
            </w:r>
          </w:p>
        </w:tc>
        <w:tc>
          <w:tcPr>
            <w:tcW w:w="679" w:type="dxa"/>
            <w:tcBorders>
              <w:left w:val="single" w:sz="4" w:space="0" w:color="auto"/>
              <w:bottom w:val="single" w:sz="4" w:space="0" w:color="auto"/>
              <w:right w:val="single" w:sz="4" w:space="0" w:color="auto"/>
            </w:tcBorders>
          </w:tcPr>
          <w:p w14:paraId="56A26461"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2,9</w:t>
            </w:r>
          </w:p>
        </w:tc>
        <w:tc>
          <w:tcPr>
            <w:tcW w:w="679" w:type="dxa"/>
            <w:tcBorders>
              <w:left w:val="single" w:sz="4" w:space="0" w:color="auto"/>
              <w:bottom w:val="single" w:sz="4" w:space="0" w:color="auto"/>
              <w:right w:val="single" w:sz="4" w:space="0" w:color="auto"/>
            </w:tcBorders>
          </w:tcPr>
          <w:p w14:paraId="2EF1D2E1"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2,3</w:t>
            </w:r>
          </w:p>
        </w:tc>
        <w:tc>
          <w:tcPr>
            <w:tcW w:w="679" w:type="dxa"/>
            <w:tcBorders>
              <w:left w:val="single" w:sz="4" w:space="0" w:color="auto"/>
              <w:bottom w:val="single" w:sz="4" w:space="0" w:color="auto"/>
              <w:right w:val="single" w:sz="4" w:space="0" w:color="auto"/>
            </w:tcBorders>
          </w:tcPr>
          <w:p w14:paraId="0E33BBF6"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2,3</w:t>
            </w:r>
          </w:p>
        </w:tc>
        <w:tc>
          <w:tcPr>
            <w:tcW w:w="679" w:type="dxa"/>
            <w:tcBorders>
              <w:left w:val="single" w:sz="4" w:space="0" w:color="auto"/>
              <w:bottom w:val="single" w:sz="4" w:space="0" w:color="auto"/>
              <w:right w:val="single" w:sz="4" w:space="0" w:color="auto"/>
            </w:tcBorders>
          </w:tcPr>
          <w:p w14:paraId="71BE8503"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2,3</w:t>
            </w:r>
          </w:p>
        </w:tc>
        <w:tc>
          <w:tcPr>
            <w:tcW w:w="679" w:type="dxa"/>
            <w:tcBorders>
              <w:left w:val="single" w:sz="4" w:space="0" w:color="auto"/>
              <w:bottom w:val="single" w:sz="4" w:space="0" w:color="auto"/>
            </w:tcBorders>
          </w:tcPr>
          <w:p w14:paraId="3501AA38" w14:textId="77777777" w:rsidR="009C6C55" w:rsidRPr="00192B2E" w:rsidRDefault="009C6C55" w:rsidP="00F33575">
            <w:pPr>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r w:rsidRPr="00192B2E">
              <w:rPr>
                <w:rFonts w:asciiTheme="majorHAnsi" w:hAnsiTheme="majorHAnsi" w:cstheme="majorHAnsi"/>
                <w:sz w:val="20"/>
              </w:rPr>
              <w:t>2,3</w:t>
            </w:r>
          </w:p>
        </w:tc>
      </w:tr>
    </w:tbl>
    <w:p w14:paraId="4562F8AE" w14:textId="77777777" w:rsidR="009C6C55" w:rsidRDefault="009C6C55" w:rsidP="009C6C55">
      <w:pPr>
        <w:spacing w:before="0" w:after="0" w:line="240" w:lineRule="auto"/>
        <w:rPr>
          <w:sz w:val="18"/>
          <w:szCs w:val="18"/>
        </w:rPr>
      </w:pPr>
      <w:r w:rsidRPr="007B13E4">
        <w:rPr>
          <w:sz w:val="18"/>
          <w:szCs w:val="18"/>
        </w:rPr>
        <w:t>*) údaj ČSÚ</w:t>
      </w:r>
    </w:p>
    <w:p w14:paraId="00EB0C66" w14:textId="77777777" w:rsidR="00E57E1F" w:rsidRPr="007B13E4" w:rsidRDefault="00E57E1F" w:rsidP="009C6C55">
      <w:pPr>
        <w:spacing w:before="0" w:after="0" w:line="240" w:lineRule="auto"/>
        <w:rPr>
          <w:sz w:val="18"/>
          <w:szCs w:val="18"/>
        </w:rPr>
      </w:pPr>
      <w:r>
        <w:rPr>
          <w:sz w:val="18"/>
          <w:szCs w:val="18"/>
        </w:rPr>
        <w:t>Zdroj: ČSÚ, Ministerstvo financí</w:t>
      </w:r>
    </w:p>
    <w:p w14:paraId="544748B8" w14:textId="77777777" w:rsidR="009C6C55" w:rsidRDefault="009C6C55">
      <w:pPr>
        <w:spacing w:before="0" w:after="0" w:line="240" w:lineRule="auto"/>
        <w:jc w:val="left"/>
        <w:rPr>
          <w:rFonts w:asciiTheme="majorHAnsi" w:eastAsiaTheme="majorEastAsia" w:hAnsiTheme="majorHAnsi" w:cstheme="majorBidi"/>
          <w:bCs/>
          <w:color w:val="004B8D"/>
          <w:spacing w:val="0"/>
          <w:szCs w:val="26"/>
          <w:lang w:bidi="ar-SA"/>
        </w:rPr>
      </w:pPr>
    </w:p>
    <w:p w14:paraId="4DBDA65E" w14:textId="77777777" w:rsidR="009C6C55" w:rsidRDefault="009C6C55" w:rsidP="009C6C55">
      <w:pPr>
        <w:spacing w:after="0"/>
        <w:contextualSpacing/>
      </w:pPr>
      <w:r>
        <w:t xml:space="preserve">Prognóza vývoje makroekonomické situace </w:t>
      </w:r>
      <w:r w:rsidR="00E57E1F">
        <w:t>na</w:t>
      </w:r>
      <w:r>
        <w:t> období 2019</w:t>
      </w:r>
      <w:r w:rsidR="00E57E1F">
        <w:t xml:space="preserve"> - </w:t>
      </w:r>
      <w:r>
        <w:t>2021</w:t>
      </w:r>
      <w:r w:rsidR="00D20055">
        <w:t xml:space="preserve"> zpracovaná MF</w:t>
      </w:r>
      <w:r w:rsidR="00E57E1F">
        <w:t xml:space="preserve"> </w:t>
      </w:r>
      <w:r w:rsidR="00D20055">
        <w:t>ČR</w:t>
      </w:r>
      <w:r>
        <w:t xml:space="preserve"> předpokládá</w:t>
      </w:r>
    </w:p>
    <w:p w14:paraId="7FA43C30" w14:textId="77777777" w:rsidR="009C6C55" w:rsidRDefault="009C6C55" w:rsidP="00D10F0D">
      <w:pPr>
        <w:pStyle w:val="Odstavecseseznamem"/>
        <w:numPr>
          <w:ilvl w:val="0"/>
          <w:numId w:val="13"/>
        </w:numPr>
        <w:spacing w:before="0"/>
        <w:ind w:left="714" w:hanging="357"/>
      </w:pPr>
      <w:r>
        <w:t>postupný pokles dynamiky růstu HDP pod 3 %</w:t>
      </w:r>
    </w:p>
    <w:p w14:paraId="5AA5E7AF" w14:textId="77777777" w:rsidR="009C6C55" w:rsidRDefault="009C6C55" w:rsidP="00D10F0D">
      <w:pPr>
        <w:pStyle w:val="Odstavecseseznamem"/>
        <w:numPr>
          <w:ilvl w:val="0"/>
          <w:numId w:val="13"/>
        </w:numPr>
      </w:pPr>
      <w:r>
        <w:t>stabilizovanou inflaci okolo 2 %</w:t>
      </w:r>
    </w:p>
    <w:p w14:paraId="29B6144B" w14:textId="77777777" w:rsidR="009C6C55" w:rsidRDefault="009C6C55" w:rsidP="00D10F0D">
      <w:pPr>
        <w:pStyle w:val="Odstavecseseznamem"/>
        <w:numPr>
          <w:ilvl w:val="0"/>
          <w:numId w:val="13"/>
        </w:numPr>
      </w:pPr>
      <w:r>
        <w:t>stabilizovanou míru nezaměstnanosti okolo 2,3 %</w:t>
      </w:r>
    </w:p>
    <w:p w14:paraId="4935546B" w14:textId="77777777" w:rsidR="00CF4608" w:rsidRDefault="00CF4608" w:rsidP="00CF4608">
      <w:pPr>
        <w:pStyle w:val="Odstavecseseznamem"/>
      </w:pPr>
    </w:p>
    <w:p w14:paraId="1DF4582D" w14:textId="77777777" w:rsidR="00256E88" w:rsidRPr="00AA0BC7" w:rsidRDefault="009C6C55" w:rsidP="00634400">
      <w:pPr>
        <w:pBdr>
          <w:top w:val="single" w:sz="4" w:space="1" w:color="auto"/>
          <w:left w:val="single" w:sz="4" w:space="4" w:color="auto"/>
          <w:bottom w:val="single" w:sz="4" w:space="1" w:color="auto"/>
          <w:right w:val="single" w:sz="4" w:space="4" w:color="auto"/>
        </w:pBdr>
        <w:shd w:val="clear" w:color="auto" w:fill="D9D9D9" w:themeFill="background1" w:themeFillShade="D9"/>
        <w:rPr>
          <w:lang w:bidi="ar-SA"/>
        </w:rPr>
      </w:pPr>
      <w:r w:rsidRPr="00AA0BC7">
        <w:rPr>
          <w:lang w:bidi="ar-SA"/>
        </w:rPr>
        <w:t xml:space="preserve">Z makroekonomického vývoje </w:t>
      </w:r>
      <w:r w:rsidR="00E57E1F" w:rsidRPr="00AA0BC7">
        <w:rPr>
          <w:lang w:bidi="ar-SA"/>
        </w:rPr>
        <w:t xml:space="preserve">v letech </w:t>
      </w:r>
      <w:r w:rsidRPr="00AA0BC7">
        <w:rPr>
          <w:lang w:bidi="ar-SA"/>
        </w:rPr>
        <w:t>2013</w:t>
      </w:r>
      <w:r w:rsidR="00E57E1F" w:rsidRPr="00AA0BC7">
        <w:rPr>
          <w:lang w:bidi="ar-SA"/>
        </w:rPr>
        <w:t xml:space="preserve"> - </w:t>
      </w:r>
      <w:r w:rsidRPr="00AA0BC7">
        <w:rPr>
          <w:lang w:bidi="ar-SA"/>
        </w:rPr>
        <w:t>2018 a prognózy pro navazující období vyplývá, že Národní RIS3 strategie je realizována v relativně stabilním makroekonomickém prostředí a jeho faktory by neměly mít zásadní vliv na případné korekce cílů a priorit</w:t>
      </w:r>
      <w:r w:rsidR="00E57E1F" w:rsidRPr="00AA0BC7">
        <w:rPr>
          <w:lang w:bidi="ar-SA"/>
        </w:rPr>
        <w:t xml:space="preserve"> v současném programovacím období</w:t>
      </w:r>
      <w:r w:rsidRPr="00AA0BC7">
        <w:rPr>
          <w:lang w:bidi="ar-SA"/>
        </w:rPr>
        <w:t xml:space="preserve">. </w:t>
      </w:r>
    </w:p>
    <w:p w14:paraId="41E77EE1" w14:textId="77777777" w:rsidR="00256E88" w:rsidRPr="00AA0BC7" w:rsidRDefault="00256E88" w:rsidP="00634400">
      <w:pPr>
        <w:pBdr>
          <w:top w:val="single" w:sz="4" w:space="1" w:color="auto"/>
          <w:left w:val="single" w:sz="4" w:space="4" w:color="auto"/>
          <w:bottom w:val="single" w:sz="4" w:space="1" w:color="auto"/>
          <w:right w:val="single" w:sz="4" w:space="4" w:color="auto"/>
        </w:pBdr>
        <w:shd w:val="clear" w:color="auto" w:fill="D9D9D9" w:themeFill="background1" w:themeFillShade="D9"/>
        <w:rPr>
          <w:lang w:bidi="ar-SA"/>
        </w:rPr>
      </w:pPr>
      <w:r w:rsidRPr="00AA0BC7">
        <w:rPr>
          <w:lang w:bidi="ar-SA"/>
        </w:rPr>
        <w:t xml:space="preserve">Pro přípravu nové Národní RIS3 strategie 2021+ </w:t>
      </w:r>
      <w:r w:rsidR="009C6C55" w:rsidRPr="00AA0BC7">
        <w:rPr>
          <w:lang w:bidi="ar-SA"/>
        </w:rPr>
        <w:t xml:space="preserve">by </w:t>
      </w:r>
      <w:r w:rsidRPr="00AA0BC7">
        <w:rPr>
          <w:lang w:bidi="ar-SA"/>
        </w:rPr>
        <w:t xml:space="preserve">však </w:t>
      </w:r>
      <w:r w:rsidR="009C6C55" w:rsidRPr="00AA0BC7">
        <w:rPr>
          <w:lang w:bidi="ar-SA"/>
        </w:rPr>
        <w:t>mělo být bráno v potaz reálně očekávané ochlazení ekonomiky</w:t>
      </w:r>
      <w:r w:rsidRPr="00AA0BC7">
        <w:rPr>
          <w:lang w:bidi="ar-SA"/>
        </w:rPr>
        <w:t>, které se projeví jak poklesem spotřeby, tak poklesem tvorby fixního kapitálu</w:t>
      </w:r>
      <w:r w:rsidR="009C6C55" w:rsidRPr="00AA0BC7">
        <w:rPr>
          <w:lang w:bidi="ar-SA"/>
        </w:rPr>
        <w:t>.</w:t>
      </w:r>
      <w:r w:rsidRPr="00AA0BC7">
        <w:rPr>
          <w:lang w:bidi="ar-SA"/>
        </w:rPr>
        <w:t xml:space="preserve"> To znamená, že ve veřejném i podnikovém sektoru bude méně disponibilních zdrojů, které bude možné </w:t>
      </w:r>
      <w:r w:rsidR="00CF4608" w:rsidRPr="00AA0BC7">
        <w:rPr>
          <w:lang w:bidi="ar-SA"/>
        </w:rPr>
        <w:t>nasměrovat</w:t>
      </w:r>
      <w:r w:rsidRPr="00AA0BC7">
        <w:rPr>
          <w:lang w:bidi="ar-SA"/>
        </w:rPr>
        <w:t xml:space="preserve"> na investice do vědeckovýzkumných a inovačních aktivit. </w:t>
      </w:r>
    </w:p>
    <w:p w14:paraId="68FB50FB" w14:textId="48D32874" w:rsidR="009C6C55" w:rsidRPr="00AA0BC7" w:rsidRDefault="007150D8" w:rsidP="00634400">
      <w:pPr>
        <w:pBdr>
          <w:top w:val="single" w:sz="4" w:space="1" w:color="auto"/>
          <w:left w:val="single" w:sz="4" w:space="4" w:color="auto"/>
          <w:bottom w:val="single" w:sz="4" w:space="1" w:color="auto"/>
          <w:right w:val="single" w:sz="4" w:space="4" w:color="auto"/>
        </w:pBdr>
        <w:shd w:val="clear" w:color="auto" w:fill="D9D9D9" w:themeFill="background1" w:themeFillShade="D9"/>
        <w:rPr>
          <w:lang w:bidi="ar-SA"/>
        </w:rPr>
      </w:pPr>
      <w:r>
        <w:rPr>
          <w:lang w:bidi="ar-SA"/>
        </w:rPr>
        <w:t>Na tuto situaci b</w:t>
      </w:r>
      <w:r w:rsidR="00256E88" w:rsidRPr="00AA0BC7">
        <w:rPr>
          <w:lang w:bidi="ar-SA"/>
        </w:rPr>
        <w:t xml:space="preserve">ude </w:t>
      </w:r>
      <w:r w:rsidR="00CF4608" w:rsidRPr="00AA0BC7">
        <w:rPr>
          <w:lang w:bidi="ar-SA"/>
        </w:rPr>
        <w:t xml:space="preserve">proto </w:t>
      </w:r>
      <w:r>
        <w:rPr>
          <w:lang w:bidi="ar-SA"/>
        </w:rPr>
        <w:t>nezbytné</w:t>
      </w:r>
      <w:r w:rsidR="00256E88" w:rsidRPr="00AA0BC7">
        <w:rPr>
          <w:lang w:bidi="ar-SA"/>
        </w:rPr>
        <w:t xml:space="preserve"> </w:t>
      </w:r>
      <w:r>
        <w:rPr>
          <w:lang w:bidi="ar-SA"/>
        </w:rPr>
        <w:t xml:space="preserve">reagovat uvážlivým </w:t>
      </w:r>
      <w:r w:rsidR="006B49BD">
        <w:rPr>
          <w:lang w:bidi="ar-SA"/>
        </w:rPr>
        <w:t>zacílení</w:t>
      </w:r>
      <w:r>
        <w:rPr>
          <w:lang w:bidi="ar-SA"/>
        </w:rPr>
        <w:t>m</w:t>
      </w:r>
      <w:r w:rsidR="006B49BD">
        <w:rPr>
          <w:lang w:bidi="ar-SA"/>
        </w:rPr>
        <w:t xml:space="preserve"> omezených finančních prostředků do vybraných oblastí, které vykazují největší růstový potenciál </w:t>
      </w:r>
      <w:r w:rsidR="006B49BD" w:rsidRPr="006B49BD">
        <w:rPr>
          <w:lang w:bidi="ar-SA"/>
        </w:rPr>
        <w:t>a</w:t>
      </w:r>
      <w:r w:rsidR="009B24CA">
        <w:rPr>
          <w:lang w:bidi="ar-SA"/>
        </w:rPr>
        <w:t> </w:t>
      </w:r>
      <w:r w:rsidR="006B49BD" w:rsidRPr="006B49BD">
        <w:rPr>
          <w:lang w:bidi="ar-SA"/>
        </w:rPr>
        <w:t>představují</w:t>
      </w:r>
      <w:r w:rsidR="00CF4608" w:rsidRPr="006B49BD">
        <w:rPr>
          <w:lang w:bidi="ar-SA"/>
        </w:rPr>
        <w:t> konkurenční výhodu.</w:t>
      </w:r>
      <w:r w:rsidR="00CF4608" w:rsidRPr="00AA0BC7">
        <w:rPr>
          <w:lang w:bidi="ar-SA"/>
        </w:rPr>
        <w:t xml:space="preserve"> </w:t>
      </w:r>
      <w:r w:rsidR="00256E88" w:rsidRPr="00AA0BC7">
        <w:rPr>
          <w:lang w:bidi="ar-SA"/>
        </w:rPr>
        <w:t xml:space="preserve">  </w:t>
      </w:r>
    </w:p>
    <w:p w14:paraId="0C5EA5D2" w14:textId="77777777" w:rsidR="006A2372" w:rsidRDefault="006A2372">
      <w:pPr>
        <w:spacing w:before="0" w:after="0" w:line="240" w:lineRule="auto"/>
        <w:jc w:val="left"/>
        <w:rPr>
          <w:rFonts w:asciiTheme="majorHAnsi" w:eastAsiaTheme="majorEastAsia" w:hAnsiTheme="majorHAnsi" w:cstheme="majorBidi"/>
          <w:b/>
          <w:bCs/>
          <w:color w:val="004B8D"/>
          <w:spacing w:val="0"/>
          <w:sz w:val="26"/>
          <w:szCs w:val="26"/>
          <w:lang w:bidi="ar-SA"/>
        </w:rPr>
      </w:pPr>
      <w:r>
        <w:rPr>
          <w:rFonts w:asciiTheme="majorHAnsi" w:eastAsiaTheme="majorEastAsia" w:hAnsiTheme="majorHAnsi" w:cstheme="majorBidi"/>
          <w:bCs/>
          <w:color w:val="004B8D"/>
          <w:spacing w:val="0"/>
          <w:szCs w:val="26"/>
          <w:lang w:bidi="ar-SA"/>
        </w:rPr>
        <w:br w:type="page"/>
      </w:r>
    </w:p>
    <w:p w14:paraId="260C2DB3" w14:textId="77777777" w:rsidR="00FE5EE3" w:rsidRDefault="00FE5EE3" w:rsidP="00FE5EE3">
      <w:pPr>
        <w:pStyle w:val="Nadpis2"/>
        <w:keepNext/>
        <w:keepLines/>
        <w:numPr>
          <w:ilvl w:val="0"/>
          <w:numId w:val="0"/>
        </w:numPr>
        <w:pBdr>
          <w:top w:val="none" w:sz="0" w:space="0" w:color="auto"/>
          <w:left w:val="none" w:sz="0" w:space="0" w:color="auto"/>
        </w:pBdr>
        <w:shd w:val="clear" w:color="auto" w:fill="auto"/>
        <w:spacing w:before="200" w:after="0"/>
        <w:jc w:val="left"/>
        <w:rPr>
          <w:rFonts w:asciiTheme="majorHAnsi" w:eastAsiaTheme="majorEastAsia" w:hAnsiTheme="majorHAnsi" w:cstheme="majorBidi"/>
          <w:bCs/>
          <w:color w:val="004B8D"/>
          <w:spacing w:val="0"/>
          <w:szCs w:val="26"/>
          <w:lang w:bidi="ar-SA"/>
        </w:rPr>
      </w:pPr>
      <w:bookmarkStart w:id="36" w:name="_Toc5626449"/>
      <w:r>
        <w:rPr>
          <w:rFonts w:asciiTheme="majorHAnsi" w:eastAsiaTheme="majorEastAsia" w:hAnsiTheme="majorHAnsi" w:cstheme="majorBidi"/>
          <w:bCs/>
          <w:color w:val="004B8D"/>
          <w:spacing w:val="0"/>
          <w:szCs w:val="26"/>
          <w:lang w:bidi="ar-SA"/>
        </w:rPr>
        <w:lastRenderedPageBreak/>
        <w:t>3</w:t>
      </w:r>
      <w:r w:rsidRPr="00A806AB">
        <w:rPr>
          <w:rFonts w:asciiTheme="majorHAnsi" w:eastAsiaTheme="majorEastAsia" w:hAnsiTheme="majorHAnsi" w:cstheme="majorBidi"/>
          <w:bCs/>
          <w:color w:val="004B8D"/>
          <w:spacing w:val="0"/>
          <w:szCs w:val="26"/>
          <w:lang w:bidi="ar-SA"/>
        </w:rPr>
        <w:t>.</w:t>
      </w:r>
      <w:r>
        <w:rPr>
          <w:rFonts w:asciiTheme="majorHAnsi" w:eastAsiaTheme="majorEastAsia" w:hAnsiTheme="majorHAnsi" w:cstheme="majorBidi"/>
          <w:bCs/>
          <w:color w:val="004B8D"/>
          <w:spacing w:val="0"/>
          <w:szCs w:val="26"/>
          <w:lang w:bidi="ar-SA"/>
        </w:rPr>
        <w:t>2</w:t>
      </w:r>
      <w:r w:rsidRPr="00A806AB">
        <w:rPr>
          <w:rFonts w:asciiTheme="majorHAnsi" w:eastAsiaTheme="majorEastAsia" w:hAnsiTheme="majorHAnsi" w:cstheme="majorBidi"/>
          <w:bCs/>
          <w:color w:val="004B8D"/>
          <w:spacing w:val="0"/>
          <w:szCs w:val="26"/>
          <w:lang w:bidi="ar-SA"/>
        </w:rPr>
        <w:t xml:space="preserve"> </w:t>
      </w:r>
      <w:r w:rsidR="00597AC2">
        <w:rPr>
          <w:rFonts w:asciiTheme="majorHAnsi" w:eastAsiaTheme="majorEastAsia" w:hAnsiTheme="majorHAnsi" w:cstheme="majorBidi"/>
          <w:bCs/>
          <w:color w:val="004B8D"/>
          <w:spacing w:val="0"/>
          <w:szCs w:val="26"/>
          <w:lang w:bidi="ar-SA"/>
        </w:rPr>
        <w:t>Z</w:t>
      </w:r>
      <w:r>
        <w:rPr>
          <w:rFonts w:asciiTheme="majorHAnsi" w:eastAsiaTheme="majorEastAsia" w:hAnsiTheme="majorHAnsi" w:cstheme="majorBidi"/>
          <w:bCs/>
          <w:color w:val="004B8D"/>
          <w:spacing w:val="0"/>
          <w:szCs w:val="26"/>
          <w:lang w:bidi="ar-SA"/>
        </w:rPr>
        <w:t>acílení N</w:t>
      </w:r>
      <w:r w:rsidRPr="00A806AB">
        <w:rPr>
          <w:rFonts w:asciiTheme="majorHAnsi" w:eastAsiaTheme="majorEastAsia" w:hAnsiTheme="majorHAnsi" w:cstheme="majorBidi"/>
          <w:bCs/>
          <w:color w:val="004B8D"/>
          <w:spacing w:val="0"/>
          <w:szCs w:val="26"/>
          <w:lang w:bidi="ar-SA"/>
        </w:rPr>
        <w:t xml:space="preserve">árodní RIS3 </w:t>
      </w:r>
      <w:r>
        <w:rPr>
          <w:rFonts w:asciiTheme="majorHAnsi" w:eastAsiaTheme="majorEastAsia" w:hAnsiTheme="majorHAnsi" w:cstheme="majorBidi"/>
          <w:bCs/>
          <w:color w:val="004B8D"/>
          <w:spacing w:val="0"/>
          <w:szCs w:val="26"/>
          <w:lang w:bidi="ar-SA"/>
        </w:rPr>
        <w:t>strategie</w:t>
      </w:r>
      <w:bookmarkEnd w:id="36"/>
      <w:r>
        <w:rPr>
          <w:rFonts w:asciiTheme="majorHAnsi" w:eastAsiaTheme="majorEastAsia" w:hAnsiTheme="majorHAnsi" w:cstheme="majorBidi"/>
          <w:bCs/>
          <w:color w:val="004B8D"/>
          <w:spacing w:val="0"/>
          <w:szCs w:val="26"/>
          <w:lang w:bidi="ar-SA"/>
        </w:rPr>
        <w:t xml:space="preserve"> </w:t>
      </w:r>
    </w:p>
    <w:p w14:paraId="3C41FFA6" w14:textId="77777777" w:rsidR="00597AC2" w:rsidRDefault="00597AC2" w:rsidP="005760D4">
      <w:pPr>
        <w:rPr>
          <w:lang w:bidi="ar-SA"/>
        </w:rPr>
      </w:pPr>
      <w:r>
        <w:rPr>
          <w:lang w:bidi="ar-SA"/>
        </w:rPr>
        <w:t>Národní RIS3 strategie představuje velice rozsáhlý dokument, který detailně popisuje kontext problematiky výzkumu, vývoje a inovací v ČR a na základě identifikovaných problémových oblastí navrhuje strategii intervencí.</w:t>
      </w:r>
    </w:p>
    <w:p w14:paraId="4AF9520E" w14:textId="77777777" w:rsidR="00E84D5C" w:rsidRPr="00CE6DA1" w:rsidRDefault="007E0924" w:rsidP="005760D4">
      <w:pPr>
        <w:rPr>
          <w:lang w:bidi="ar-SA"/>
        </w:rPr>
      </w:pPr>
      <w:r>
        <w:rPr>
          <w:lang w:bidi="ar-SA"/>
        </w:rPr>
        <w:t xml:space="preserve">Níže uvedená analýza respektuje, že </w:t>
      </w:r>
      <w:r w:rsidR="00DA5DD6">
        <w:rPr>
          <w:lang w:bidi="ar-SA"/>
        </w:rPr>
        <w:t>Národní RIS3 strategie je koncipována ve dvou základních strukturních rovinách</w:t>
      </w:r>
      <w:r>
        <w:rPr>
          <w:lang w:bidi="ar-SA"/>
        </w:rPr>
        <w:t>, kdy p</w:t>
      </w:r>
      <w:r w:rsidR="00DA5DD6">
        <w:rPr>
          <w:lang w:bidi="ar-SA"/>
        </w:rPr>
        <w:t xml:space="preserve">rvní rovinu představují tzv. </w:t>
      </w:r>
      <w:r w:rsidR="00DA5DD6" w:rsidRPr="00DA5DD6">
        <w:rPr>
          <w:b/>
          <w:lang w:bidi="ar-SA"/>
        </w:rPr>
        <w:t>klíčové oblasti změn (horizontální cíle)</w:t>
      </w:r>
      <w:r w:rsidR="00DA5DD6">
        <w:rPr>
          <w:lang w:bidi="ar-SA"/>
        </w:rPr>
        <w:t xml:space="preserve">, dále rozpracované do </w:t>
      </w:r>
      <w:r w:rsidR="00DA5DD6" w:rsidRPr="00DA5DD6">
        <w:rPr>
          <w:b/>
          <w:i/>
          <w:lang w:bidi="ar-SA"/>
        </w:rPr>
        <w:t>strategických a specifických cílů</w:t>
      </w:r>
      <w:r w:rsidR="00DA5DD6">
        <w:rPr>
          <w:lang w:bidi="ar-SA"/>
        </w:rPr>
        <w:t xml:space="preserve">. Druhou rovinu </w:t>
      </w:r>
      <w:r>
        <w:rPr>
          <w:lang w:bidi="ar-SA"/>
        </w:rPr>
        <w:t xml:space="preserve">pak </w:t>
      </w:r>
      <w:r w:rsidR="00DA5DD6">
        <w:rPr>
          <w:lang w:bidi="ar-SA"/>
        </w:rPr>
        <w:t xml:space="preserve">představují </w:t>
      </w:r>
      <w:r w:rsidR="00DA5DD6" w:rsidRPr="00DA5DD6">
        <w:rPr>
          <w:b/>
          <w:lang w:bidi="ar-SA"/>
        </w:rPr>
        <w:t xml:space="preserve">národní domény </w:t>
      </w:r>
      <w:r w:rsidR="00634400">
        <w:rPr>
          <w:b/>
          <w:lang w:bidi="ar-SA"/>
        </w:rPr>
        <w:t xml:space="preserve">inteligentní </w:t>
      </w:r>
      <w:r w:rsidR="00DA5DD6" w:rsidRPr="00DA5DD6">
        <w:rPr>
          <w:b/>
          <w:lang w:bidi="ar-SA"/>
        </w:rPr>
        <w:t>specializace (vertikální cíle)</w:t>
      </w:r>
      <w:r w:rsidR="00DA5DD6">
        <w:rPr>
          <w:lang w:bidi="ar-SA"/>
        </w:rPr>
        <w:t xml:space="preserve">. Tyto národní domény specializace jsou ve vzájemné koherenci řešeny jako domény </w:t>
      </w:r>
      <w:r w:rsidR="00DA5DD6" w:rsidRPr="00DA5DD6">
        <w:rPr>
          <w:b/>
          <w:i/>
          <w:lang w:bidi="ar-SA"/>
        </w:rPr>
        <w:t>výzkumné specializace</w:t>
      </w:r>
      <w:r w:rsidR="00DA5DD6">
        <w:rPr>
          <w:lang w:bidi="ar-SA"/>
        </w:rPr>
        <w:t xml:space="preserve"> </w:t>
      </w:r>
      <w:r w:rsidR="00B90483" w:rsidRPr="00B90483">
        <w:rPr>
          <w:i/>
          <w:lang w:bidi="ar-SA"/>
        </w:rPr>
        <w:t>(znalostní domény)</w:t>
      </w:r>
      <w:r w:rsidR="00B90483">
        <w:rPr>
          <w:lang w:bidi="ar-SA"/>
        </w:rPr>
        <w:t xml:space="preserve"> </w:t>
      </w:r>
      <w:r w:rsidR="00DA5DD6">
        <w:rPr>
          <w:lang w:bidi="ar-SA"/>
        </w:rPr>
        <w:t xml:space="preserve">a domény </w:t>
      </w:r>
      <w:r w:rsidR="00DA5DD6" w:rsidRPr="00B90483">
        <w:rPr>
          <w:b/>
          <w:i/>
          <w:lang w:bidi="ar-SA"/>
        </w:rPr>
        <w:t>ekonomické specializace</w:t>
      </w:r>
      <w:r w:rsidR="00B90483">
        <w:rPr>
          <w:i/>
          <w:lang w:bidi="ar-SA"/>
        </w:rPr>
        <w:t xml:space="preserve"> (aplikační odvětví).</w:t>
      </w:r>
    </w:p>
    <w:p w14:paraId="59CDB941" w14:textId="77777777" w:rsidR="006E48F8" w:rsidRDefault="006E48F8" w:rsidP="007206DA">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p>
    <w:p w14:paraId="4448C81B" w14:textId="77777777" w:rsidR="007206DA" w:rsidRPr="00B90483" w:rsidRDefault="00BE4B88" w:rsidP="007206DA">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bookmarkStart w:id="37" w:name="_Toc5626450"/>
      <w:r>
        <w:rPr>
          <w:rFonts w:asciiTheme="majorHAnsi" w:eastAsiaTheme="majorEastAsia" w:hAnsiTheme="majorHAnsi" w:cstheme="majorHAnsi"/>
          <w:i/>
          <w:caps/>
          <w:color w:val="004B8D"/>
          <w:spacing w:val="0"/>
          <w:sz w:val="22"/>
          <w:lang w:bidi="ar-SA"/>
        </w:rPr>
        <w:t xml:space="preserve">3.2.1 </w:t>
      </w:r>
      <w:r w:rsidR="00597AC2">
        <w:rPr>
          <w:rFonts w:asciiTheme="majorHAnsi" w:eastAsiaTheme="majorEastAsia" w:hAnsiTheme="majorHAnsi" w:cstheme="majorHAnsi"/>
          <w:i/>
          <w:caps/>
          <w:color w:val="004B8D"/>
          <w:spacing w:val="0"/>
          <w:sz w:val="22"/>
          <w:lang w:bidi="ar-SA"/>
        </w:rPr>
        <w:t xml:space="preserve">Horizontální zacílení </w:t>
      </w:r>
      <w:r w:rsidR="007206DA" w:rsidRPr="00B90483">
        <w:rPr>
          <w:rFonts w:asciiTheme="majorHAnsi" w:eastAsiaTheme="majorEastAsia" w:hAnsiTheme="majorHAnsi" w:cstheme="majorHAnsi"/>
          <w:i/>
          <w:caps/>
          <w:color w:val="004B8D"/>
          <w:spacing w:val="0"/>
          <w:sz w:val="22"/>
          <w:lang w:bidi="ar-SA"/>
        </w:rPr>
        <w:t>Národní RIS3 strategie</w:t>
      </w:r>
      <w:bookmarkEnd w:id="37"/>
    </w:p>
    <w:p w14:paraId="37319750" w14:textId="77777777" w:rsidR="00C929F1" w:rsidRDefault="00C929F1" w:rsidP="00C929F1">
      <w:pPr>
        <w:rPr>
          <w:lang w:bidi="ar-SA"/>
        </w:rPr>
      </w:pPr>
      <w:r>
        <w:rPr>
          <w:lang w:bidi="ar-SA"/>
        </w:rPr>
        <w:t xml:space="preserve">Analytická část Národní RIS3 strategie vymezuje 4 </w:t>
      </w:r>
      <w:r w:rsidRPr="006247D7">
        <w:rPr>
          <w:b/>
          <w:lang w:bidi="ar-SA"/>
        </w:rPr>
        <w:t>základní oblasti</w:t>
      </w:r>
      <w:r>
        <w:rPr>
          <w:lang w:bidi="ar-SA"/>
        </w:rPr>
        <w:t xml:space="preserve"> a jejich </w:t>
      </w:r>
      <w:r w:rsidRPr="006247D7">
        <w:rPr>
          <w:b/>
          <w:lang w:bidi="ar-SA"/>
        </w:rPr>
        <w:t>problémové okruhy</w:t>
      </w:r>
      <w:r>
        <w:rPr>
          <w:lang w:bidi="ar-SA"/>
        </w:rPr>
        <w:t xml:space="preserve">, které podmiňují rozvoj inovací vedoucí k dosahování konkurenční výhody a hospodářského růstu. </w:t>
      </w:r>
    </w:p>
    <w:p w14:paraId="0486BA4C" w14:textId="77777777" w:rsidR="00C929F1" w:rsidRPr="00635BE8" w:rsidRDefault="00C929F1" w:rsidP="00C929F1">
      <w:pPr>
        <w:spacing w:after="0"/>
        <w:rPr>
          <w:i/>
        </w:rPr>
      </w:pPr>
      <w:bookmarkStart w:id="38" w:name="_Ref4422703"/>
      <w:bookmarkStart w:id="39" w:name="_Toc5626515"/>
      <w:r w:rsidRPr="00C64D59">
        <w:rPr>
          <w:rFonts w:cs="Arial-ItalicMT"/>
          <w:b/>
          <w:iCs/>
          <w:szCs w:val="22"/>
        </w:rPr>
        <w:t xml:space="preserve">Tabulka č. </w:t>
      </w:r>
      <w:r w:rsidR="008A090D" w:rsidRPr="00C64D59">
        <w:rPr>
          <w:rFonts w:cs="Arial-ItalicMT"/>
          <w:b/>
          <w:iCs/>
          <w:szCs w:val="22"/>
        </w:rPr>
        <w:fldChar w:fldCharType="begin"/>
      </w:r>
      <w:r w:rsidRPr="00C64D59">
        <w:rPr>
          <w:rFonts w:cs="Arial-ItalicMT"/>
          <w:b/>
          <w:iCs/>
          <w:szCs w:val="22"/>
        </w:rPr>
        <w:instrText xml:space="preserve"> SEQ Tabulka_č._ \* ARABIC </w:instrText>
      </w:r>
      <w:r w:rsidR="008A090D" w:rsidRPr="00C64D59">
        <w:rPr>
          <w:rFonts w:cs="Arial-ItalicMT"/>
          <w:b/>
          <w:iCs/>
          <w:szCs w:val="22"/>
        </w:rPr>
        <w:fldChar w:fldCharType="separate"/>
      </w:r>
      <w:r w:rsidR="002309D5">
        <w:rPr>
          <w:rFonts w:cs="Arial-ItalicMT"/>
          <w:b/>
          <w:iCs/>
          <w:noProof/>
          <w:szCs w:val="22"/>
        </w:rPr>
        <w:t>6</w:t>
      </w:r>
      <w:r w:rsidR="008A090D" w:rsidRPr="00C64D59">
        <w:rPr>
          <w:rFonts w:cs="Arial-ItalicMT"/>
          <w:b/>
          <w:iCs/>
          <w:szCs w:val="22"/>
        </w:rPr>
        <w:fldChar w:fldCharType="end"/>
      </w:r>
      <w:r w:rsidRPr="00C64D59">
        <w:rPr>
          <w:rFonts w:cs="Arial-ItalicMT"/>
          <w:b/>
          <w:iCs/>
          <w:szCs w:val="22"/>
        </w:rPr>
        <w:t xml:space="preserve"> -</w:t>
      </w:r>
      <w:r w:rsidRPr="00D66402">
        <w:rPr>
          <w:rFonts w:cs="Arial-ItalicMT"/>
          <w:iCs/>
          <w:szCs w:val="22"/>
        </w:rPr>
        <w:t xml:space="preserve"> </w:t>
      </w:r>
      <w:r>
        <w:rPr>
          <w:i/>
        </w:rPr>
        <w:t>Základní oblasti a jejich problémové okruhy</w:t>
      </w:r>
      <w:bookmarkEnd w:id="38"/>
      <w:bookmarkEnd w:id="39"/>
    </w:p>
    <w:tbl>
      <w:tblPr>
        <w:tblStyle w:val="Svtlseznamzvraznn12"/>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095"/>
      </w:tblGrid>
      <w:tr w:rsidR="00C929F1" w:rsidRPr="00BB05CE" w14:paraId="0E9343D3" w14:textId="77777777" w:rsidTr="006050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shd w:val="clear" w:color="auto" w:fill="4F81BD"/>
            <w:vAlign w:val="center"/>
          </w:tcPr>
          <w:p w14:paraId="3FA5AE1B" w14:textId="77777777" w:rsidR="00C929F1" w:rsidRPr="00BB05CE" w:rsidRDefault="00C929F1" w:rsidP="00C929F1">
            <w:pPr>
              <w:spacing w:before="120" w:after="120" w:line="240" w:lineRule="auto"/>
              <w:jc w:val="center"/>
              <w:rPr>
                <w:rFonts w:asciiTheme="majorHAnsi" w:hAnsiTheme="majorHAnsi" w:cstheme="majorHAnsi"/>
              </w:rPr>
            </w:pPr>
            <w:r>
              <w:rPr>
                <w:rFonts w:asciiTheme="majorHAnsi" w:hAnsiTheme="majorHAnsi" w:cstheme="majorHAnsi"/>
              </w:rPr>
              <w:t>Základní oblasti</w:t>
            </w:r>
          </w:p>
        </w:tc>
        <w:tc>
          <w:tcPr>
            <w:tcW w:w="6095" w:type="dxa"/>
            <w:shd w:val="clear" w:color="auto" w:fill="4F81BD"/>
            <w:vAlign w:val="center"/>
          </w:tcPr>
          <w:p w14:paraId="52151A00" w14:textId="77777777" w:rsidR="00C929F1" w:rsidRPr="00BB05CE" w:rsidRDefault="00C929F1" w:rsidP="00C929F1">
            <w:pPr>
              <w:spacing w:before="120" w:after="12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Problémové okruhy</w:t>
            </w:r>
          </w:p>
        </w:tc>
      </w:tr>
      <w:tr w:rsidR="00C929F1" w:rsidRPr="00476621" w14:paraId="679D291A"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vMerge w:val="restart"/>
            <w:shd w:val="clear" w:color="auto" w:fill="auto"/>
            <w:vAlign w:val="center"/>
          </w:tcPr>
          <w:p w14:paraId="429DB69E" w14:textId="77777777" w:rsidR="00C929F1" w:rsidRPr="00476621" w:rsidRDefault="00C929F1" w:rsidP="00C929F1">
            <w:pPr>
              <w:spacing w:before="0" w:after="0" w:line="240" w:lineRule="auto"/>
              <w:jc w:val="left"/>
              <w:rPr>
                <w:rFonts w:cs="Calibri"/>
                <w:b w:val="0"/>
              </w:rPr>
            </w:pPr>
            <w:r>
              <w:rPr>
                <w:rFonts w:cs="Calibri"/>
                <w:b w:val="0"/>
              </w:rPr>
              <w:t>Podnikání a inovace</w:t>
            </w:r>
          </w:p>
        </w:tc>
        <w:tc>
          <w:tcPr>
            <w:tcW w:w="6095" w:type="dxa"/>
            <w:shd w:val="clear" w:color="auto" w:fill="auto"/>
          </w:tcPr>
          <w:p w14:paraId="37739162" w14:textId="77777777" w:rsidR="00C929F1" w:rsidRPr="00DF63EB" w:rsidRDefault="00C929F1" w:rsidP="00D10F0D">
            <w:pPr>
              <w:pStyle w:val="Odstavecseseznamem"/>
              <w:numPr>
                <w:ilvl w:val="0"/>
                <w:numId w:val="26"/>
              </w:numPr>
              <w:spacing w:before="0" w:after="0" w:line="240" w:lineRule="auto"/>
              <w:ind w:left="317" w:hanging="283"/>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DF63EB">
              <w:rPr>
                <w:rFonts w:asciiTheme="majorHAnsi" w:hAnsiTheme="majorHAnsi" w:cstheme="majorHAnsi"/>
              </w:rPr>
              <w:t>Nedostatečně silný endogenní podnikatelský sektor</w:t>
            </w:r>
          </w:p>
        </w:tc>
      </w:tr>
      <w:tr w:rsidR="00C929F1" w:rsidRPr="00E37DFD" w14:paraId="0EDACFB8" w14:textId="77777777" w:rsidTr="00605061">
        <w:tc>
          <w:tcPr>
            <w:cnfStyle w:val="001000000000" w:firstRow="0" w:lastRow="0" w:firstColumn="1" w:lastColumn="0" w:oddVBand="0" w:evenVBand="0" w:oddHBand="0" w:evenHBand="0" w:firstRowFirstColumn="0" w:firstRowLastColumn="0" w:lastRowFirstColumn="0" w:lastRowLastColumn="0"/>
            <w:tcW w:w="3119" w:type="dxa"/>
            <w:vMerge/>
            <w:shd w:val="clear" w:color="auto" w:fill="auto"/>
          </w:tcPr>
          <w:p w14:paraId="133EB5BF" w14:textId="77777777" w:rsidR="00C929F1" w:rsidRPr="00E37DFD" w:rsidRDefault="00C929F1" w:rsidP="00C929F1">
            <w:pPr>
              <w:spacing w:before="0" w:after="0" w:line="240" w:lineRule="auto"/>
              <w:jc w:val="left"/>
              <w:rPr>
                <w:rFonts w:cs="Calibri"/>
                <w:b w:val="0"/>
              </w:rPr>
            </w:pPr>
          </w:p>
        </w:tc>
        <w:tc>
          <w:tcPr>
            <w:tcW w:w="6095" w:type="dxa"/>
            <w:shd w:val="clear" w:color="auto" w:fill="auto"/>
          </w:tcPr>
          <w:p w14:paraId="67CF180E" w14:textId="77777777" w:rsidR="00C929F1" w:rsidRPr="00DF63EB" w:rsidRDefault="00C929F1" w:rsidP="00D10F0D">
            <w:pPr>
              <w:pStyle w:val="Odstavecseseznamem"/>
              <w:numPr>
                <w:ilvl w:val="0"/>
                <w:numId w:val="26"/>
              </w:numPr>
              <w:spacing w:before="0" w:after="0" w:line="240" w:lineRule="auto"/>
              <w:ind w:left="317" w:hanging="283"/>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DF63EB">
              <w:rPr>
                <w:rFonts w:asciiTheme="majorHAnsi" w:hAnsiTheme="majorHAnsi" w:cstheme="majorHAnsi"/>
              </w:rPr>
              <w:t>Vysoká závislost hospodářského vývoje ČR na aktivitách zahraničních firem</w:t>
            </w:r>
          </w:p>
        </w:tc>
      </w:tr>
      <w:tr w:rsidR="00C929F1" w:rsidRPr="00476621" w14:paraId="46B08DCA"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vMerge/>
            <w:shd w:val="clear" w:color="auto" w:fill="auto"/>
          </w:tcPr>
          <w:p w14:paraId="7B5F7844" w14:textId="77777777" w:rsidR="00C929F1" w:rsidRPr="00476621" w:rsidRDefault="00C929F1" w:rsidP="00C929F1">
            <w:pPr>
              <w:spacing w:before="0" w:after="0" w:line="240" w:lineRule="auto"/>
              <w:jc w:val="left"/>
              <w:rPr>
                <w:rFonts w:cs="Calibri"/>
                <w:b w:val="0"/>
              </w:rPr>
            </w:pPr>
          </w:p>
        </w:tc>
        <w:tc>
          <w:tcPr>
            <w:tcW w:w="6095" w:type="dxa"/>
            <w:shd w:val="clear" w:color="auto" w:fill="auto"/>
          </w:tcPr>
          <w:p w14:paraId="1895D246" w14:textId="77777777" w:rsidR="00C929F1" w:rsidRPr="00DF63EB" w:rsidRDefault="00C929F1" w:rsidP="00D10F0D">
            <w:pPr>
              <w:pStyle w:val="Odstavecseseznamem"/>
              <w:numPr>
                <w:ilvl w:val="0"/>
                <w:numId w:val="26"/>
              </w:numPr>
              <w:spacing w:before="0" w:after="0" w:line="240" w:lineRule="auto"/>
              <w:ind w:left="317" w:hanging="283"/>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DF63EB">
              <w:rPr>
                <w:rFonts w:asciiTheme="majorHAnsi" w:hAnsiTheme="majorHAnsi" w:cstheme="majorHAnsi"/>
              </w:rPr>
              <w:t xml:space="preserve">Nestabilita regulačního rámce a administrativní náročnost plnění regulačních pravidel </w:t>
            </w:r>
          </w:p>
        </w:tc>
      </w:tr>
      <w:tr w:rsidR="00C929F1" w:rsidRPr="00476621" w14:paraId="03FBD54F" w14:textId="77777777" w:rsidTr="00605061">
        <w:tc>
          <w:tcPr>
            <w:cnfStyle w:val="001000000000" w:firstRow="0" w:lastRow="0" w:firstColumn="1" w:lastColumn="0" w:oddVBand="0" w:evenVBand="0" w:oddHBand="0" w:evenHBand="0" w:firstRowFirstColumn="0" w:firstRowLastColumn="0" w:lastRowFirstColumn="0" w:lastRowLastColumn="0"/>
            <w:tcW w:w="3119" w:type="dxa"/>
            <w:vMerge/>
            <w:shd w:val="clear" w:color="auto" w:fill="auto"/>
          </w:tcPr>
          <w:p w14:paraId="7E3C475C" w14:textId="77777777" w:rsidR="00C929F1" w:rsidRPr="00BB05CE" w:rsidRDefault="00C929F1" w:rsidP="00C929F1">
            <w:pPr>
              <w:spacing w:before="0" w:after="0" w:line="240" w:lineRule="auto"/>
              <w:jc w:val="left"/>
              <w:rPr>
                <w:rFonts w:cs="Calibri"/>
                <w:b w:val="0"/>
              </w:rPr>
            </w:pPr>
          </w:p>
        </w:tc>
        <w:tc>
          <w:tcPr>
            <w:tcW w:w="6095" w:type="dxa"/>
            <w:shd w:val="clear" w:color="auto" w:fill="auto"/>
          </w:tcPr>
          <w:p w14:paraId="698A917A" w14:textId="77777777" w:rsidR="00C929F1" w:rsidRPr="00DF63EB" w:rsidRDefault="00C929F1" w:rsidP="00D10F0D">
            <w:pPr>
              <w:pStyle w:val="Odstavecseseznamem"/>
              <w:numPr>
                <w:ilvl w:val="0"/>
                <w:numId w:val="26"/>
              </w:numPr>
              <w:spacing w:before="0" w:after="0" w:line="240" w:lineRule="auto"/>
              <w:ind w:left="317" w:hanging="283"/>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DF63EB">
              <w:rPr>
                <w:rFonts w:asciiTheme="majorHAnsi" w:hAnsiTheme="majorHAnsi" w:cstheme="majorHAnsi"/>
              </w:rPr>
              <w:t>Přetrvávající podcenění digitální agendy v podnikání</w:t>
            </w:r>
          </w:p>
        </w:tc>
      </w:tr>
      <w:tr w:rsidR="00C929F1" w:rsidRPr="00476621" w14:paraId="5D2D001A"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vMerge w:val="restart"/>
            <w:shd w:val="clear" w:color="auto" w:fill="auto"/>
            <w:vAlign w:val="center"/>
          </w:tcPr>
          <w:p w14:paraId="6F32DEF6" w14:textId="77777777" w:rsidR="00C929F1" w:rsidRPr="00D60D76" w:rsidRDefault="00C929F1" w:rsidP="00C929F1">
            <w:pPr>
              <w:spacing w:before="0" w:after="0" w:line="240" w:lineRule="auto"/>
              <w:jc w:val="left"/>
              <w:rPr>
                <w:rFonts w:cs="Calibri"/>
                <w:b w:val="0"/>
              </w:rPr>
            </w:pPr>
            <w:r>
              <w:rPr>
                <w:rFonts w:cs="Calibri"/>
                <w:b w:val="0"/>
              </w:rPr>
              <w:t>Výzkum a vývoj</w:t>
            </w:r>
          </w:p>
        </w:tc>
        <w:tc>
          <w:tcPr>
            <w:tcW w:w="6095" w:type="dxa"/>
            <w:shd w:val="clear" w:color="auto" w:fill="auto"/>
          </w:tcPr>
          <w:p w14:paraId="0DA0641A" w14:textId="77777777" w:rsidR="00C929F1" w:rsidRPr="00DF63EB" w:rsidRDefault="00C929F1" w:rsidP="00D10F0D">
            <w:pPr>
              <w:pStyle w:val="Odstavecseseznamem"/>
              <w:numPr>
                <w:ilvl w:val="0"/>
                <w:numId w:val="25"/>
              </w:numPr>
              <w:spacing w:before="0" w:after="0" w:line="240" w:lineRule="auto"/>
              <w:ind w:left="317" w:hanging="283"/>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Nevyrovnaná kvalita veřejného výzkumu</w:t>
            </w:r>
          </w:p>
        </w:tc>
      </w:tr>
      <w:tr w:rsidR="00C929F1" w:rsidRPr="00476621" w14:paraId="63FA701E" w14:textId="77777777" w:rsidTr="00605061">
        <w:tc>
          <w:tcPr>
            <w:cnfStyle w:val="001000000000" w:firstRow="0" w:lastRow="0" w:firstColumn="1" w:lastColumn="0" w:oddVBand="0" w:evenVBand="0" w:oddHBand="0" w:evenHBand="0" w:firstRowFirstColumn="0" w:firstRowLastColumn="0" w:lastRowFirstColumn="0" w:lastRowLastColumn="0"/>
            <w:tcW w:w="3119" w:type="dxa"/>
            <w:vMerge/>
            <w:shd w:val="clear" w:color="auto" w:fill="auto"/>
          </w:tcPr>
          <w:p w14:paraId="2269CA4D" w14:textId="77777777" w:rsidR="00C929F1" w:rsidRPr="00D60D76" w:rsidRDefault="00C929F1" w:rsidP="00C929F1">
            <w:pPr>
              <w:spacing w:before="0" w:after="0" w:line="240" w:lineRule="auto"/>
              <w:jc w:val="left"/>
              <w:rPr>
                <w:rFonts w:cs="Calibri"/>
                <w:b w:val="0"/>
              </w:rPr>
            </w:pPr>
          </w:p>
        </w:tc>
        <w:tc>
          <w:tcPr>
            <w:tcW w:w="6095" w:type="dxa"/>
            <w:shd w:val="clear" w:color="auto" w:fill="auto"/>
          </w:tcPr>
          <w:p w14:paraId="4F82B22E" w14:textId="77777777" w:rsidR="00C929F1" w:rsidRPr="00DF63EB" w:rsidRDefault="00C929F1" w:rsidP="00D10F0D">
            <w:pPr>
              <w:pStyle w:val="Odstavecseseznamem"/>
              <w:numPr>
                <w:ilvl w:val="0"/>
                <w:numId w:val="25"/>
              </w:numPr>
              <w:spacing w:before="0" w:after="0" w:line="240" w:lineRule="auto"/>
              <w:ind w:left="317" w:hanging="283"/>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Rizika digitální agendy ve veřejném výzkumu</w:t>
            </w:r>
          </w:p>
        </w:tc>
      </w:tr>
      <w:tr w:rsidR="00C929F1" w:rsidRPr="00476621" w14:paraId="011212D6"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vMerge/>
            <w:shd w:val="clear" w:color="auto" w:fill="auto"/>
          </w:tcPr>
          <w:p w14:paraId="19AC0DD6" w14:textId="77777777" w:rsidR="00C929F1" w:rsidRPr="00D60D76" w:rsidRDefault="00C929F1" w:rsidP="00C929F1">
            <w:pPr>
              <w:spacing w:before="0" w:after="0" w:line="240" w:lineRule="auto"/>
              <w:jc w:val="left"/>
              <w:rPr>
                <w:rFonts w:cs="Calibri"/>
                <w:b w:val="0"/>
              </w:rPr>
            </w:pPr>
          </w:p>
        </w:tc>
        <w:tc>
          <w:tcPr>
            <w:tcW w:w="6095" w:type="dxa"/>
            <w:shd w:val="clear" w:color="auto" w:fill="auto"/>
          </w:tcPr>
          <w:p w14:paraId="789B8389" w14:textId="77777777" w:rsidR="00C929F1" w:rsidRPr="00DF63EB" w:rsidRDefault="00C929F1" w:rsidP="00D10F0D">
            <w:pPr>
              <w:pStyle w:val="Odstavecseseznamem"/>
              <w:numPr>
                <w:ilvl w:val="0"/>
                <w:numId w:val="25"/>
              </w:numPr>
              <w:spacing w:before="0" w:after="0" w:line="240" w:lineRule="auto"/>
              <w:ind w:left="317" w:hanging="283"/>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Nízká relevance a málo rozvinutá spolupráce veřejného výzkumu s aplikační sférou</w:t>
            </w:r>
          </w:p>
        </w:tc>
      </w:tr>
      <w:tr w:rsidR="00C929F1" w:rsidRPr="00476621" w14:paraId="0EF11303" w14:textId="77777777" w:rsidTr="00605061">
        <w:tc>
          <w:tcPr>
            <w:cnfStyle w:val="001000000000" w:firstRow="0" w:lastRow="0" w:firstColumn="1" w:lastColumn="0" w:oddVBand="0" w:evenVBand="0" w:oddHBand="0" w:evenHBand="0" w:firstRowFirstColumn="0" w:firstRowLastColumn="0" w:lastRowFirstColumn="0" w:lastRowLastColumn="0"/>
            <w:tcW w:w="3119" w:type="dxa"/>
            <w:vMerge/>
            <w:shd w:val="clear" w:color="auto" w:fill="auto"/>
          </w:tcPr>
          <w:p w14:paraId="2D695D28" w14:textId="77777777" w:rsidR="00C929F1" w:rsidRPr="00D60D76" w:rsidRDefault="00C929F1" w:rsidP="00C929F1">
            <w:pPr>
              <w:spacing w:before="0" w:after="0" w:line="240" w:lineRule="auto"/>
              <w:jc w:val="left"/>
              <w:rPr>
                <w:rFonts w:cs="Calibri"/>
                <w:b w:val="0"/>
              </w:rPr>
            </w:pPr>
          </w:p>
        </w:tc>
        <w:tc>
          <w:tcPr>
            <w:tcW w:w="6095" w:type="dxa"/>
            <w:shd w:val="clear" w:color="auto" w:fill="auto"/>
          </w:tcPr>
          <w:p w14:paraId="3E2790F6" w14:textId="77777777" w:rsidR="00C929F1" w:rsidRPr="00DF63EB" w:rsidRDefault="00C929F1" w:rsidP="00D10F0D">
            <w:pPr>
              <w:pStyle w:val="Odstavecseseznamem"/>
              <w:numPr>
                <w:ilvl w:val="0"/>
                <w:numId w:val="25"/>
              </w:numPr>
              <w:spacing w:before="0" w:after="0" w:line="240" w:lineRule="auto"/>
              <w:ind w:left="317" w:hanging="283"/>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Nedostatečná mezinárodní otevřenost výzkumného prostředí v ČR</w:t>
            </w:r>
          </w:p>
        </w:tc>
      </w:tr>
      <w:tr w:rsidR="00C929F1" w:rsidRPr="00476621" w14:paraId="59C95484"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vMerge/>
            <w:shd w:val="clear" w:color="auto" w:fill="auto"/>
          </w:tcPr>
          <w:p w14:paraId="51730998" w14:textId="77777777" w:rsidR="00C929F1" w:rsidRPr="00D60D76" w:rsidRDefault="00C929F1" w:rsidP="00C929F1">
            <w:pPr>
              <w:spacing w:before="0" w:after="0" w:line="240" w:lineRule="auto"/>
              <w:jc w:val="left"/>
              <w:rPr>
                <w:rFonts w:cs="Calibri"/>
                <w:b w:val="0"/>
              </w:rPr>
            </w:pPr>
          </w:p>
        </w:tc>
        <w:tc>
          <w:tcPr>
            <w:tcW w:w="6095" w:type="dxa"/>
            <w:shd w:val="clear" w:color="auto" w:fill="auto"/>
          </w:tcPr>
          <w:p w14:paraId="4543EC34" w14:textId="77777777" w:rsidR="00C929F1" w:rsidRPr="00DF63EB" w:rsidRDefault="00C929F1" w:rsidP="00D10F0D">
            <w:pPr>
              <w:pStyle w:val="Odstavecseseznamem"/>
              <w:numPr>
                <w:ilvl w:val="0"/>
                <w:numId w:val="25"/>
              </w:numPr>
              <w:spacing w:before="0" w:after="0" w:line="240" w:lineRule="auto"/>
              <w:ind w:left="317" w:hanging="283"/>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Nedostatky v řízení a správě (governance) v oblasti politiky VaVaI</w:t>
            </w:r>
          </w:p>
        </w:tc>
      </w:tr>
      <w:tr w:rsidR="00C929F1" w:rsidRPr="00476621" w14:paraId="4F382633" w14:textId="77777777" w:rsidTr="00605061">
        <w:tc>
          <w:tcPr>
            <w:cnfStyle w:val="001000000000" w:firstRow="0" w:lastRow="0" w:firstColumn="1" w:lastColumn="0" w:oddVBand="0" w:evenVBand="0" w:oddHBand="0" w:evenHBand="0" w:firstRowFirstColumn="0" w:firstRowLastColumn="0" w:lastRowFirstColumn="0" w:lastRowLastColumn="0"/>
            <w:tcW w:w="3119" w:type="dxa"/>
            <w:vMerge w:val="restart"/>
            <w:shd w:val="clear" w:color="auto" w:fill="auto"/>
            <w:vAlign w:val="center"/>
          </w:tcPr>
          <w:p w14:paraId="1BBC2CB0" w14:textId="77777777" w:rsidR="00C929F1" w:rsidRPr="00DF63EB" w:rsidRDefault="00C929F1" w:rsidP="00C929F1">
            <w:pPr>
              <w:spacing w:before="0" w:after="0" w:line="240" w:lineRule="auto"/>
              <w:jc w:val="left"/>
              <w:rPr>
                <w:rFonts w:cs="Calibri"/>
                <w:b w:val="0"/>
              </w:rPr>
            </w:pPr>
            <w:r w:rsidRPr="00DF63EB">
              <w:rPr>
                <w:rFonts w:cs="Calibri"/>
                <w:b w:val="0"/>
              </w:rPr>
              <w:t>Lidské zdroje</w:t>
            </w:r>
          </w:p>
        </w:tc>
        <w:tc>
          <w:tcPr>
            <w:tcW w:w="6095" w:type="dxa"/>
            <w:shd w:val="clear" w:color="auto" w:fill="auto"/>
          </w:tcPr>
          <w:p w14:paraId="1D0B2286" w14:textId="77777777" w:rsidR="00C929F1" w:rsidRPr="00DF63EB" w:rsidRDefault="00C929F1" w:rsidP="00D10F0D">
            <w:pPr>
              <w:pStyle w:val="Odstavecseseznamem"/>
              <w:numPr>
                <w:ilvl w:val="0"/>
                <w:numId w:val="27"/>
              </w:numPr>
              <w:spacing w:before="0" w:after="0" w:line="240" w:lineRule="auto"/>
              <w:ind w:left="317" w:hanging="283"/>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Průměrná kvalita výstupů vzdělávacího systému</w:t>
            </w:r>
          </w:p>
        </w:tc>
      </w:tr>
      <w:tr w:rsidR="00C929F1" w:rsidRPr="00476621" w14:paraId="76061154"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vMerge/>
            <w:shd w:val="clear" w:color="auto" w:fill="auto"/>
          </w:tcPr>
          <w:p w14:paraId="381E6338" w14:textId="77777777" w:rsidR="00C929F1" w:rsidRPr="00D60D76" w:rsidRDefault="00C929F1" w:rsidP="00C929F1">
            <w:pPr>
              <w:spacing w:before="0" w:after="0" w:line="240" w:lineRule="auto"/>
              <w:jc w:val="left"/>
              <w:rPr>
                <w:rFonts w:cs="Calibri"/>
                <w:b w:val="0"/>
              </w:rPr>
            </w:pPr>
          </w:p>
        </w:tc>
        <w:tc>
          <w:tcPr>
            <w:tcW w:w="6095" w:type="dxa"/>
            <w:shd w:val="clear" w:color="auto" w:fill="auto"/>
          </w:tcPr>
          <w:p w14:paraId="00D13C61" w14:textId="77777777" w:rsidR="00C929F1" w:rsidRPr="00DF63EB" w:rsidRDefault="00C929F1" w:rsidP="00D10F0D">
            <w:pPr>
              <w:pStyle w:val="Odstavecseseznamem"/>
              <w:numPr>
                <w:ilvl w:val="0"/>
                <w:numId w:val="27"/>
              </w:numPr>
              <w:spacing w:before="0" w:after="0" w:line="240" w:lineRule="auto"/>
              <w:ind w:left="317" w:hanging="283"/>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Nefunkční systém identifikace talentů a práce s nimi</w:t>
            </w:r>
          </w:p>
        </w:tc>
      </w:tr>
      <w:tr w:rsidR="00C929F1" w:rsidRPr="00476621" w14:paraId="1AF4F273" w14:textId="77777777" w:rsidTr="00605061">
        <w:tc>
          <w:tcPr>
            <w:cnfStyle w:val="001000000000" w:firstRow="0" w:lastRow="0" w:firstColumn="1" w:lastColumn="0" w:oddVBand="0" w:evenVBand="0" w:oddHBand="0" w:evenHBand="0" w:firstRowFirstColumn="0" w:firstRowLastColumn="0" w:lastRowFirstColumn="0" w:lastRowLastColumn="0"/>
            <w:tcW w:w="3119" w:type="dxa"/>
            <w:vMerge/>
            <w:shd w:val="clear" w:color="auto" w:fill="auto"/>
          </w:tcPr>
          <w:p w14:paraId="61D3B747" w14:textId="77777777" w:rsidR="00C929F1" w:rsidRPr="00D60D76" w:rsidRDefault="00C929F1" w:rsidP="00C929F1">
            <w:pPr>
              <w:spacing w:before="0" w:after="0" w:line="240" w:lineRule="auto"/>
              <w:jc w:val="left"/>
              <w:rPr>
                <w:rFonts w:cs="Calibri"/>
                <w:b w:val="0"/>
              </w:rPr>
            </w:pPr>
          </w:p>
        </w:tc>
        <w:tc>
          <w:tcPr>
            <w:tcW w:w="6095" w:type="dxa"/>
            <w:shd w:val="clear" w:color="auto" w:fill="auto"/>
          </w:tcPr>
          <w:p w14:paraId="122B1C9A" w14:textId="77777777" w:rsidR="00C929F1" w:rsidRPr="008347CA" w:rsidRDefault="00C929F1" w:rsidP="00D10F0D">
            <w:pPr>
              <w:pStyle w:val="Odstavecseseznamem"/>
              <w:numPr>
                <w:ilvl w:val="0"/>
                <w:numId w:val="27"/>
              </w:numPr>
              <w:spacing w:before="0" w:after="0" w:line="240" w:lineRule="auto"/>
              <w:ind w:left="317" w:hanging="283"/>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Nedostatek kvalitních lidských zdrojů pro výzkum a vývoj</w:t>
            </w:r>
          </w:p>
        </w:tc>
      </w:tr>
      <w:tr w:rsidR="00C929F1" w:rsidRPr="00476621" w14:paraId="42464A13"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vMerge/>
            <w:shd w:val="clear" w:color="auto" w:fill="auto"/>
          </w:tcPr>
          <w:p w14:paraId="4205E996" w14:textId="77777777" w:rsidR="00C929F1" w:rsidRPr="00D60D76" w:rsidRDefault="00C929F1" w:rsidP="00C929F1">
            <w:pPr>
              <w:spacing w:before="0" w:after="0" w:line="240" w:lineRule="auto"/>
              <w:jc w:val="left"/>
              <w:rPr>
                <w:rFonts w:cs="Calibri"/>
                <w:b w:val="0"/>
              </w:rPr>
            </w:pPr>
          </w:p>
        </w:tc>
        <w:tc>
          <w:tcPr>
            <w:tcW w:w="6095" w:type="dxa"/>
            <w:shd w:val="clear" w:color="auto" w:fill="auto"/>
          </w:tcPr>
          <w:p w14:paraId="77DF0817" w14:textId="77777777" w:rsidR="00C929F1" w:rsidRPr="008347CA" w:rsidRDefault="00C929F1" w:rsidP="00D10F0D">
            <w:pPr>
              <w:pStyle w:val="Odstavecseseznamem"/>
              <w:numPr>
                <w:ilvl w:val="0"/>
                <w:numId w:val="27"/>
              </w:numPr>
              <w:spacing w:before="0" w:after="0" w:line="240" w:lineRule="auto"/>
              <w:ind w:left="317" w:hanging="283"/>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Nedostatečná podpora digitální agendy v lidských zdrojích</w:t>
            </w:r>
          </w:p>
        </w:tc>
      </w:tr>
      <w:tr w:rsidR="00C929F1" w:rsidRPr="00476621" w14:paraId="08DB35AE" w14:textId="77777777" w:rsidTr="00605061">
        <w:tc>
          <w:tcPr>
            <w:cnfStyle w:val="001000000000" w:firstRow="0" w:lastRow="0" w:firstColumn="1" w:lastColumn="0" w:oddVBand="0" w:evenVBand="0" w:oddHBand="0" w:evenHBand="0" w:firstRowFirstColumn="0" w:firstRowLastColumn="0" w:lastRowFirstColumn="0" w:lastRowLastColumn="0"/>
            <w:tcW w:w="3119" w:type="dxa"/>
            <w:shd w:val="clear" w:color="auto" w:fill="auto"/>
            <w:vAlign w:val="center"/>
          </w:tcPr>
          <w:p w14:paraId="1D948E26" w14:textId="77777777" w:rsidR="00C929F1" w:rsidRPr="008347CA" w:rsidRDefault="00C929F1" w:rsidP="00C929F1">
            <w:pPr>
              <w:spacing w:before="0" w:after="0" w:line="240" w:lineRule="auto"/>
              <w:jc w:val="left"/>
              <w:rPr>
                <w:rFonts w:cs="Calibri"/>
                <w:b w:val="0"/>
              </w:rPr>
            </w:pPr>
            <w:r w:rsidRPr="008347CA">
              <w:rPr>
                <w:rFonts w:cs="Calibri"/>
                <w:b w:val="0"/>
              </w:rPr>
              <w:t>Sociální inovace</w:t>
            </w:r>
          </w:p>
        </w:tc>
        <w:tc>
          <w:tcPr>
            <w:tcW w:w="6095" w:type="dxa"/>
            <w:shd w:val="clear" w:color="auto" w:fill="auto"/>
          </w:tcPr>
          <w:p w14:paraId="671E1A13" w14:textId="77777777" w:rsidR="00C929F1" w:rsidRPr="008347CA" w:rsidRDefault="00C929F1" w:rsidP="00D10F0D">
            <w:pPr>
              <w:pStyle w:val="Odstavecseseznamem"/>
              <w:numPr>
                <w:ilvl w:val="0"/>
                <w:numId w:val="28"/>
              </w:numPr>
              <w:spacing w:before="0" w:after="0" w:line="240" w:lineRule="auto"/>
              <w:ind w:left="317" w:hanging="283"/>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Nedostatečné využívání partnerské spolupráce a kreativity klíčových aktérů při řešení komplexních společenských výzev</w:t>
            </w:r>
          </w:p>
        </w:tc>
      </w:tr>
    </w:tbl>
    <w:p w14:paraId="5CA70177" w14:textId="77777777" w:rsidR="00C929F1" w:rsidRPr="00635BE8" w:rsidRDefault="00C929F1" w:rsidP="00C929F1">
      <w:pPr>
        <w:spacing w:before="0"/>
        <w:rPr>
          <w:sz w:val="18"/>
          <w:szCs w:val="18"/>
        </w:rPr>
      </w:pPr>
      <w:r w:rsidRPr="00635BE8">
        <w:rPr>
          <w:sz w:val="18"/>
          <w:szCs w:val="18"/>
        </w:rPr>
        <w:t xml:space="preserve">Zdroj: </w:t>
      </w:r>
      <w:r>
        <w:rPr>
          <w:sz w:val="18"/>
          <w:szCs w:val="18"/>
        </w:rPr>
        <w:t xml:space="preserve">Národní RIS3 strategie, 2014; </w:t>
      </w:r>
      <w:r w:rsidRPr="00635BE8">
        <w:rPr>
          <w:sz w:val="18"/>
          <w:szCs w:val="18"/>
        </w:rPr>
        <w:t>vlastní zpracování</w:t>
      </w:r>
    </w:p>
    <w:p w14:paraId="0DF02759" w14:textId="77777777" w:rsidR="00CE6DA1" w:rsidRDefault="00C929F1" w:rsidP="00C929F1">
      <w:pPr>
        <w:rPr>
          <w:lang w:bidi="ar-SA"/>
        </w:rPr>
      </w:pPr>
      <w:r>
        <w:rPr>
          <w:lang w:bidi="ar-SA"/>
        </w:rPr>
        <w:t xml:space="preserve">Na základě výše uvedených problémových okruhů, resp. překážek v inovacích zpracovaných ve formě SWOT analýzy bylo definováno 6 </w:t>
      </w:r>
      <w:r w:rsidRPr="006247D7">
        <w:rPr>
          <w:b/>
          <w:lang w:bidi="ar-SA"/>
        </w:rPr>
        <w:t>klíčových oblastí změn</w:t>
      </w:r>
      <w:r>
        <w:rPr>
          <w:lang w:bidi="ar-SA"/>
        </w:rPr>
        <w:t xml:space="preserve"> (horizontální cíle), které </w:t>
      </w:r>
      <w:r>
        <w:rPr>
          <w:lang w:bidi="ar-SA"/>
        </w:rPr>
        <w:lastRenderedPageBreak/>
        <w:t>představují první základní strukturní rovinu Národní RIS3 strategie</w:t>
      </w:r>
      <w:r>
        <w:rPr>
          <w:rStyle w:val="Znakapoznpodarou"/>
          <w:lang w:bidi="ar-SA"/>
        </w:rPr>
        <w:footnoteReference w:id="22"/>
      </w:r>
      <w:r>
        <w:rPr>
          <w:lang w:bidi="ar-SA"/>
        </w:rPr>
        <w:t>. V rámci těchto klíčových oblastí změn (tematických okruhů) je zapotřebí dosáhnout významných kvalitativních změn, které ve svém důsledku povedou v dlouhodobém horizontu k naplnění strategické vize</w:t>
      </w:r>
      <w:r w:rsidR="00CE6DA1">
        <w:rPr>
          <w:lang w:bidi="ar-SA"/>
        </w:rPr>
        <w:t xml:space="preserve"> ČESKO PODNIKAVÉ, KREATIVNÍ A PŘITAŽLIVÉ PRO TALENTY. </w:t>
      </w:r>
    </w:p>
    <w:p w14:paraId="51223123" w14:textId="77777777" w:rsidR="00C929F1" w:rsidRDefault="00C929F1" w:rsidP="00C929F1">
      <w:pPr>
        <w:rPr>
          <w:lang w:bidi="ar-SA"/>
        </w:rPr>
      </w:pPr>
      <w:r>
        <w:rPr>
          <w:lang w:bidi="ar-SA"/>
        </w:rPr>
        <w:t xml:space="preserve">Každá klíčová oblast </w:t>
      </w:r>
      <w:r w:rsidR="00CE6DA1">
        <w:rPr>
          <w:lang w:bidi="ar-SA"/>
        </w:rPr>
        <w:t xml:space="preserve">změn </w:t>
      </w:r>
      <w:r>
        <w:rPr>
          <w:lang w:bidi="ar-SA"/>
        </w:rPr>
        <w:t xml:space="preserve">má definovány </w:t>
      </w:r>
      <w:r w:rsidRPr="00577566">
        <w:rPr>
          <w:b/>
          <w:lang w:bidi="ar-SA"/>
        </w:rPr>
        <w:t>strategické cíle</w:t>
      </w:r>
      <w:r>
        <w:rPr>
          <w:lang w:bidi="ar-SA"/>
        </w:rPr>
        <w:t xml:space="preserve">, které se dále rozpadají na </w:t>
      </w:r>
      <w:r w:rsidRPr="00577566">
        <w:rPr>
          <w:b/>
          <w:lang w:bidi="ar-SA"/>
        </w:rPr>
        <w:t>specifické cíle</w:t>
      </w:r>
      <w:r>
        <w:rPr>
          <w:lang w:bidi="ar-SA"/>
        </w:rPr>
        <w:t xml:space="preserve">. Pro každý specifický cíl jsou navrženy typové projekty (resp. intervence/operace/aktivity), kterými by mělo být daného specifického cíle dosaženo. Tyto typové projekty/intervence představují určitý předobraz pro konkrétní intervence (výzvy) dotačních programů, resp. operačních programů ESIF a vybraných národních programů podpory. </w:t>
      </w:r>
    </w:p>
    <w:p w14:paraId="27C3E136" w14:textId="77777777" w:rsidR="00C929F1" w:rsidRDefault="00C929F1" w:rsidP="00C929F1">
      <w:pPr>
        <w:rPr>
          <w:lang w:bidi="ar-SA"/>
        </w:rPr>
      </w:pPr>
      <w:r>
        <w:rPr>
          <w:lang w:bidi="ar-SA"/>
        </w:rPr>
        <w:t xml:space="preserve">Struktura cílů je zachycena v následující tabulce. </w:t>
      </w:r>
    </w:p>
    <w:p w14:paraId="20A391C3" w14:textId="77777777" w:rsidR="00C929F1" w:rsidRPr="00635BE8" w:rsidRDefault="00C929F1" w:rsidP="00C929F1">
      <w:pPr>
        <w:spacing w:after="120"/>
        <w:rPr>
          <w:i/>
        </w:rPr>
      </w:pPr>
      <w:bookmarkStart w:id="40" w:name="_Ref4422708"/>
      <w:bookmarkStart w:id="41" w:name="_Toc5626516"/>
      <w:r w:rsidRPr="00C64D59">
        <w:rPr>
          <w:rFonts w:cs="Arial-ItalicMT"/>
          <w:b/>
          <w:iCs/>
          <w:szCs w:val="22"/>
        </w:rPr>
        <w:t xml:space="preserve">Tabulka č. </w:t>
      </w:r>
      <w:r w:rsidR="008A090D" w:rsidRPr="00C64D59">
        <w:rPr>
          <w:rFonts w:cs="Arial-ItalicMT"/>
          <w:b/>
          <w:iCs/>
          <w:szCs w:val="22"/>
        </w:rPr>
        <w:fldChar w:fldCharType="begin"/>
      </w:r>
      <w:r w:rsidRPr="00C64D59">
        <w:rPr>
          <w:rFonts w:cs="Arial-ItalicMT"/>
          <w:b/>
          <w:iCs/>
          <w:szCs w:val="22"/>
        </w:rPr>
        <w:instrText xml:space="preserve"> SEQ Tabulka_č._ \* ARABIC </w:instrText>
      </w:r>
      <w:r w:rsidR="008A090D" w:rsidRPr="00C64D59">
        <w:rPr>
          <w:rFonts w:cs="Arial-ItalicMT"/>
          <w:b/>
          <w:iCs/>
          <w:szCs w:val="22"/>
        </w:rPr>
        <w:fldChar w:fldCharType="separate"/>
      </w:r>
      <w:r w:rsidR="002309D5">
        <w:rPr>
          <w:rFonts w:cs="Arial-ItalicMT"/>
          <w:b/>
          <w:iCs/>
          <w:noProof/>
          <w:szCs w:val="22"/>
        </w:rPr>
        <w:t>7</w:t>
      </w:r>
      <w:r w:rsidR="008A090D" w:rsidRPr="00C64D59">
        <w:rPr>
          <w:rFonts w:cs="Arial-ItalicMT"/>
          <w:b/>
          <w:iCs/>
          <w:szCs w:val="22"/>
        </w:rPr>
        <w:fldChar w:fldCharType="end"/>
      </w:r>
      <w:r w:rsidRPr="00C64D59">
        <w:rPr>
          <w:rFonts w:cs="Arial-ItalicMT"/>
          <w:b/>
          <w:iCs/>
          <w:szCs w:val="22"/>
        </w:rPr>
        <w:t xml:space="preserve"> -</w:t>
      </w:r>
      <w:r w:rsidRPr="00D66402">
        <w:rPr>
          <w:rFonts w:cs="Arial-ItalicMT"/>
          <w:iCs/>
          <w:szCs w:val="22"/>
        </w:rPr>
        <w:t xml:space="preserve"> </w:t>
      </w:r>
      <w:r>
        <w:rPr>
          <w:i/>
        </w:rPr>
        <w:t>Klíčové oblasti změn a cíle Národní RIS3 strategie</w:t>
      </w:r>
      <w:bookmarkEnd w:id="40"/>
      <w:bookmarkEnd w:id="41"/>
    </w:p>
    <w:tbl>
      <w:tblPr>
        <w:tblStyle w:val="Svtlseznamzvraznn12"/>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2484"/>
        <w:gridCol w:w="4678"/>
      </w:tblGrid>
      <w:tr w:rsidR="00C929F1" w:rsidRPr="00BB05CE" w14:paraId="37A498E5" w14:textId="77777777" w:rsidTr="006050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2" w:type="dxa"/>
            <w:vAlign w:val="center"/>
          </w:tcPr>
          <w:p w14:paraId="3E1BA1B5" w14:textId="77777777" w:rsidR="00C929F1" w:rsidRPr="00BB05CE" w:rsidRDefault="00C929F1" w:rsidP="00C929F1">
            <w:pPr>
              <w:spacing w:before="0" w:after="0" w:line="240" w:lineRule="auto"/>
              <w:jc w:val="center"/>
              <w:rPr>
                <w:rFonts w:asciiTheme="majorHAnsi" w:hAnsiTheme="majorHAnsi" w:cstheme="majorHAnsi"/>
              </w:rPr>
            </w:pPr>
            <w:r>
              <w:rPr>
                <w:rFonts w:asciiTheme="majorHAnsi" w:hAnsiTheme="majorHAnsi" w:cstheme="majorHAnsi"/>
              </w:rPr>
              <w:t>Klíčová oblast změn</w:t>
            </w:r>
          </w:p>
        </w:tc>
        <w:tc>
          <w:tcPr>
            <w:tcW w:w="2484" w:type="dxa"/>
            <w:vAlign w:val="center"/>
          </w:tcPr>
          <w:p w14:paraId="45177B9D" w14:textId="77777777" w:rsidR="00C929F1" w:rsidRPr="00BB05CE" w:rsidRDefault="00C929F1" w:rsidP="00C929F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Strategické cíle</w:t>
            </w:r>
          </w:p>
        </w:tc>
        <w:tc>
          <w:tcPr>
            <w:tcW w:w="4678" w:type="dxa"/>
            <w:vAlign w:val="center"/>
          </w:tcPr>
          <w:p w14:paraId="30EE0E3A" w14:textId="77777777" w:rsidR="00C929F1" w:rsidRDefault="00C929F1" w:rsidP="00C929F1">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Specifické cíle</w:t>
            </w:r>
          </w:p>
        </w:tc>
      </w:tr>
      <w:tr w:rsidR="00C929F1" w:rsidRPr="00476621" w14:paraId="6EDF676F"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2" w:type="dxa"/>
            <w:vMerge w:val="restart"/>
            <w:shd w:val="clear" w:color="auto" w:fill="auto"/>
            <w:vAlign w:val="center"/>
          </w:tcPr>
          <w:p w14:paraId="408A4A28" w14:textId="77777777" w:rsidR="00C929F1" w:rsidRPr="00351F89" w:rsidRDefault="00C929F1" w:rsidP="00C929F1">
            <w:pPr>
              <w:spacing w:before="0" w:after="0" w:line="240" w:lineRule="auto"/>
              <w:jc w:val="left"/>
              <w:rPr>
                <w:rFonts w:asciiTheme="majorHAnsi" w:hAnsiTheme="majorHAnsi" w:cstheme="majorHAnsi"/>
                <w:i/>
                <w:sz w:val="18"/>
                <w:szCs w:val="18"/>
              </w:rPr>
            </w:pPr>
            <w:r w:rsidRPr="00351F89">
              <w:rPr>
                <w:rFonts w:asciiTheme="majorHAnsi" w:hAnsiTheme="majorHAnsi" w:cstheme="majorHAnsi"/>
                <w:i/>
                <w:sz w:val="18"/>
                <w:szCs w:val="18"/>
              </w:rPr>
              <w:t>A. Vyšší inovační výkonnost firem</w:t>
            </w:r>
          </w:p>
        </w:tc>
        <w:tc>
          <w:tcPr>
            <w:tcW w:w="2484" w:type="dxa"/>
            <w:vMerge w:val="restart"/>
            <w:shd w:val="clear" w:color="auto" w:fill="auto"/>
            <w:vAlign w:val="center"/>
          </w:tcPr>
          <w:p w14:paraId="144BA684" w14:textId="77777777" w:rsidR="00C929F1" w:rsidRPr="00351F89" w:rsidRDefault="00C929F1" w:rsidP="00C929F1">
            <w:pPr>
              <w:spacing w:before="0" w:after="0" w:line="240" w:lineRule="auto"/>
              <w:ind w:left="34"/>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sidRPr="00351F89">
              <w:rPr>
                <w:rFonts w:asciiTheme="majorHAnsi" w:eastAsia="Times New Roman" w:hAnsiTheme="majorHAnsi" w:cstheme="majorHAnsi"/>
                <w:bCs/>
                <w:iCs/>
                <w:color w:val="000000"/>
                <w:spacing w:val="0"/>
                <w:sz w:val="18"/>
                <w:szCs w:val="18"/>
                <w:lang w:eastAsia="cs-CZ" w:bidi="ar-SA"/>
              </w:rPr>
              <w:t>A. 1: Zvýšit inovační poptávku ve firmách (i ve veřejném sektoru)</w:t>
            </w:r>
          </w:p>
        </w:tc>
        <w:tc>
          <w:tcPr>
            <w:tcW w:w="4678" w:type="dxa"/>
            <w:shd w:val="clear" w:color="auto" w:fill="auto"/>
            <w:vAlign w:val="center"/>
          </w:tcPr>
          <w:p w14:paraId="353FE275" w14:textId="77777777" w:rsidR="00C929F1" w:rsidRPr="00281649" w:rsidRDefault="00C929F1" w:rsidP="00C929F1">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A.1.1: Posílit výzkumné a vývojové kapacity podniků</w:t>
            </w:r>
          </w:p>
        </w:tc>
      </w:tr>
      <w:tr w:rsidR="00C929F1" w:rsidRPr="00E37DFD" w14:paraId="3BCBEC7C" w14:textId="77777777" w:rsidTr="00605061">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0B9011BA" w14:textId="77777777" w:rsidR="00C929F1" w:rsidRPr="00351F89" w:rsidRDefault="00C929F1" w:rsidP="00C929F1">
            <w:pPr>
              <w:spacing w:before="0" w:after="0" w:line="240" w:lineRule="auto"/>
              <w:jc w:val="left"/>
              <w:rPr>
                <w:rFonts w:asciiTheme="majorHAnsi" w:hAnsiTheme="majorHAnsi" w:cstheme="majorHAnsi"/>
                <w:b w:val="0"/>
                <w:i/>
                <w:sz w:val="18"/>
                <w:szCs w:val="18"/>
              </w:rPr>
            </w:pPr>
          </w:p>
        </w:tc>
        <w:tc>
          <w:tcPr>
            <w:tcW w:w="2484" w:type="dxa"/>
            <w:vMerge/>
            <w:shd w:val="clear" w:color="auto" w:fill="auto"/>
            <w:vAlign w:val="center"/>
          </w:tcPr>
          <w:p w14:paraId="3104BE8C" w14:textId="77777777" w:rsidR="00C929F1" w:rsidRPr="00351F89" w:rsidRDefault="00C929F1" w:rsidP="00C929F1">
            <w:pPr>
              <w:spacing w:before="0" w:after="0" w:line="240" w:lineRule="auto"/>
              <w:ind w:left="34"/>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p>
        </w:tc>
        <w:tc>
          <w:tcPr>
            <w:tcW w:w="4678" w:type="dxa"/>
            <w:shd w:val="clear" w:color="auto" w:fill="auto"/>
            <w:vAlign w:val="center"/>
          </w:tcPr>
          <w:p w14:paraId="1E0EE09F" w14:textId="77777777" w:rsidR="00C929F1" w:rsidRPr="00281649" w:rsidRDefault="00C929F1" w:rsidP="00C929F1">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A.1.2: Zlepšit strategické řízení v MSP</w:t>
            </w:r>
          </w:p>
        </w:tc>
      </w:tr>
      <w:tr w:rsidR="00C929F1" w:rsidRPr="00476621" w14:paraId="09F08655"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193C17C8" w14:textId="77777777" w:rsidR="00C929F1" w:rsidRPr="00351F89" w:rsidRDefault="00C929F1" w:rsidP="00C929F1">
            <w:pPr>
              <w:spacing w:before="0" w:after="0" w:line="240" w:lineRule="auto"/>
              <w:jc w:val="left"/>
              <w:rPr>
                <w:rFonts w:asciiTheme="majorHAnsi" w:hAnsiTheme="majorHAnsi" w:cstheme="majorHAnsi"/>
                <w:b w:val="0"/>
                <w:i/>
                <w:sz w:val="18"/>
                <w:szCs w:val="18"/>
              </w:rPr>
            </w:pPr>
          </w:p>
        </w:tc>
        <w:tc>
          <w:tcPr>
            <w:tcW w:w="2484" w:type="dxa"/>
            <w:vMerge/>
            <w:shd w:val="clear" w:color="auto" w:fill="auto"/>
            <w:vAlign w:val="center"/>
          </w:tcPr>
          <w:p w14:paraId="3169191E" w14:textId="77777777" w:rsidR="00C929F1" w:rsidRPr="00351F89" w:rsidRDefault="00C929F1" w:rsidP="00C929F1">
            <w:pPr>
              <w:spacing w:before="0" w:after="0" w:line="240" w:lineRule="auto"/>
              <w:ind w:left="34"/>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p>
        </w:tc>
        <w:tc>
          <w:tcPr>
            <w:tcW w:w="4678" w:type="dxa"/>
            <w:shd w:val="clear" w:color="auto" w:fill="auto"/>
            <w:vAlign w:val="center"/>
          </w:tcPr>
          <w:p w14:paraId="27F555FD" w14:textId="77777777" w:rsidR="00C929F1" w:rsidRPr="00281649" w:rsidRDefault="00C929F1" w:rsidP="00C929F1">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A.1.3: Posílit technologickou spolupráci firem</w:t>
            </w:r>
          </w:p>
        </w:tc>
      </w:tr>
      <w:tr w:rsidR="00C929F1" w:rsidRPr="00476621" w14:paraId="05015F83" w14:textId="77777777" w:rsidTr="00605061">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6B5E1FED" w14:textId="77777777" w:rsidR="00C929F1" w:rsidRPr="00351F89" w:rsidRDefault="00C929F1" w:rsidP="00C929F1">
            <w:pPr>
              <w:spacing w:before="0" w:after="0" w:line="240" w:lineRule="auto"/>
              <w:jc w:val="left"/>
              <w:rPr>
                <w:rFonts w:asciiTheme="majorHAnsi" w:hAnsiTheme="majorHAnsi" w:cstheme="majorHAnsi"/>
                <w:b w:val="0"/>
                <w:i/>
                <w:sz w:val="18"/>
                <w:szCs w:val="18"/>
              </w:rPr>
            </w:pPr>
          </w:p>
        </w:tc>
        <w:tc>
          <w:tcPr>
            <w:tcW w:w="2484" w:type="dxa"/>
            <w:vMerge w:val="restart"/>
            <w:shd w:val="clear" w:color="auto" w:fill="auto"/>
            <w:vAlign w:val="center"/>
          </w:tcPr>
          <w:p w14:paraId="14FBB804" w14:textId="77777777" w:rsidR="00C929F1" w:rsidRPr="00351F89" w:rsidRDefault="00C929F1" w:rsidP="00C929F1">
            <w:pPr>
              <w:spacing w:before="0" w:after="0" w:line="240" w:lineRule="auto"/>
              <w:ind w:left="34"/>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sidRPr="00351F89">
              <w:rPr>
                <w:rFonts w:asciiTheme="majorHAnsi" w:eastAsia="Times New Roman" w:hAnsiTheme="majorHAnsi" w:cstheme="majorHAnsi"/>
                <w:bCs/>
                <w:iCs/>
                <w:color w:val="000000"/>
                <w:spacing w:val="0"/>
                <w:sz w:val="18"/>
                <w:szCs w:val="18"/>
                <w:lang w:eastAsia="cs-CZ" w:bidi="ar-SA"/>
              </w:rPr>
              <w:t>A. 2: Zvýšit míru podnikání ve společnosti s důrazem na zakládání nových rychle rostoucích firem</w:t>
            </w:r>
          </w:p>
        </w:tc>
        <w:tc>
          <w:tcPr>
            <w:tcW w:w="4678" w:type="dxa"/>
            <w:shd w:val="clear" w:color="auto" w:fill="auto"/>
            <w:vAlign w:val="center"/>
          </w:tcPr>
          <w:p w14:paraId="17CF411B" w14:textId="77777777" w:rsidR="00C929F1" w:rsidRPr="00281649" w:rsidRDefault="00C929F1" w:rsidP="00C929F1">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A.2.1: Zvýšit počet nových firem usilujících o inovace, zejména vyšších řádů</w:t>
            </w:r>
          </w:p>
        </w:tc>
      </w:tr>
      <w:tr w:rsidR="00C929F1" w:rsidRPr="00476621" w14:paraId="65363229"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20B9C8A2" w14:textId="77777777" w:rsidR="00C929F1" w:rsidRPr="00351F89" w:rsidRDefault="00C929F1" w:rsidP="00C929F1">
            <w:pPr>
              <w:spacing w:before="0" w:after="0" w:line="240" w:lineRule="auto"/>
              <w:jc w:val="left"/>
              <w:rPr>
                <w:rFonts w:asciiTheme="majorHAnsi" w:hAnsiTheme="majorHAnsi" w:cstheme="majorHAnsi"/>
                <w:b w:val="0"/>
                <w:i/>
                <w:sz w:val="18"/>
                <w:szCs w:val="18"/>
              </w:rPr>
            </w:pPr>
          </w:p>
        </w:tc>
        <w:tc>
          <w:tcPr>
            <w:tcW w:w="2484" w:type="dxa"/>
            <w:vMerge/>
            <w:shd w:val="clear" w:color="auto" w:fill="auto"/>
            <w:vAlign w:val="center"/>
          </w:tcPr>
          <w:p w14:paraId="1252B07E" w14:textId="77777777" w:rsidR="00C929F1" w:rsidRPr="00351F89" w:rsidRDefault="00C929F1" w:rsidP="00C929F1">
            <w:pPr>
              <w:spacing w:before="0" w:after="0" w:line="240" w:lineRule="auto"/>
              <w:ind w:left="34"/>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p>
        </w:tc>
        <w:tc>
          <w:tcPr>
            <w:tcW w:w="4678" w:type="dxa"/>
            <w:shd w:val="clear" w:color="auto" w:fill="auto"/>
            <w:vAlign w:val="center"/>
          </w:tcPr>
          <w:p w14:paraId="094989C0" w14:textId="77777777" w:rsidR="00C929F1" w:rsidRPr="00281649" w:rsidRDefault="00C929F1" w:rsidP="00C929F1">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 xml:space="preserve">A.2.2: Zlepšit dostupnost vnějšího financování pro začínající podnikatele a firmy s krátkou historií </w:t>
            </w:r>
          </w:p>
        </w:tc>
      </w:tr>
      <w:tr w:rsidR="00C929F1" w:rsidRPr="00476621" w14:paraId="3DBEFFA4" w14:textId="77777777" w:rsidTr="00605061">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6B2F3D90" w14:textId="77777777" w:rsidR="00C929F1" w:rsidRPr="00351F89" w:rsidRDefault="00C929F1" w:rsidP="00C929F1">
            <w:pPr>
              <w:spacing w:before="0" w:after="0" w:line="240" w:lineRule="auto"/>
              <w:jc w:val="left"/>
              <w:rPr>
                <w:rFonts w:asciiTheme="majorHAnsi" w:hAnsiTheme="majorHAnsi" w:cstheme="majorHAnsi"/>
                <w:b w:val="0"/>
                <w:i/>
                <w:sz w:val="18"/>
                <w:szCs w:val="18"/>
              </w:rPr>
            </w:pPr>
          </w:p>
        </w:tc>
        <w:tc>
          <w:tcPr>
            <w:tcW w:w="2484" w:type="dxa"/>
            <w:vMerge/>
            <w:shd w:val="clear" w:color="auto" w:fill="auto"/>
            <w:vAlign w:val="center"/>
          </w:tcPr>
          <w:p w14:paraId="0E59A205" w14:textId="77777777" w:rsidR="00C929F1" w:rsidRPr="00351F89" w:rsidRDefault="00C929F1" w:rsidP="00C929F1">
            <w:pPr>
              <w:spacing w:before="0" w:after="0" w:line="240" w:lineRule="auto"/>
              <w:ind w:left="34"/>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p>
        </w:tc>
        <w:tc>
          <w:tcPr>
            <w:tcW w:w="4678" w:type="dxa"/>
            <w:shd w:val="clear" w:color="auto" w:fill="auto"/>
            <w:vAlign w:val="center"/>
          </w:tcPr>
          <w:p w14:paraId="1FA95217" w14:textId="77777777" w:rsidR="00C929F1" w:rsidRPr="00281649" w:rsidRDefault="00C929F1" w:rsidP="00C929F1">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A.2.3: Zvýšit zájem o podnikání ve společnosti</w:t>
            </w:r>
          </w:p>
        </w:tc>
      </w:tr>
      <w:tr w:rsidR="00C929F1" w:rsidRPr="00476621" w14:paraId="2F665174"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636214C3" w14:textId="77777777" w:rsidR="00C929F1" w:rsidRPr="00351F89" w:rsidRDefault="00C929F1" w:rsidP="00C929F1">
            <w:pPr>
              <w:spacing w:before="0" w:after="0" w:line="240" w:lineRule="auto"/>
              <w:jc w:val="left"/>
              <w:rPr>
                <w:rFonts w:asciiTheme="majorHAnsi" w:hAnsiTheme="majorHAnsi" w:cstheme="majorHAnsi"/>
                <w:b w:val="0"/>
                <w:i/>
                <w:sz w:val="18"/>
                <w:szCs w:val="18"/>
              </w:rPr>
            </w:pPr>
          </w:p>
        </w:tc>
        <w:tc>
          <w:tcPr>
            <w:tcW w:w="2484" w:type="dxa"/>
            <w:vMerge w:val="restart"/>
            <w:shd w:val="clear" w:color="auto" w:fill="auto"/>
            <w:vAlign w:val="center"/>
          </w:tcPr>
          <w:p w14:paraId="44C3630B" w14:textId="77777777" w:rsidR="00C929F1" w:rsidRPr="00351F89" w:rsidRDefault="00C929F1" w:rsidP="00C929F1">
            <w:pPr>
              <w:spacing w:before="0" w:after="0" w:line="240" w:lineRule="auto"/>
              <w:ind w:left="34"/>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sidRPr="00351F89">
              <w:rPr>
                <w:rFonts w:asciiTheme="majorHAnsi" w:eastAsia="Times New Roman" w:hAnsiTheme="majorHAnsi" w:cstheme="majorHAnsi"/>
                <w:bCs/>
                <w:iCs/>
                <w:color w:val="000000"/>
                <w:spacing w:val="0"/>
                <w:sz w:val="18"/>
                <w:szCs w:val="18"/>
                <w:lang w:eastAsia="cs-CZ" w:bidi="ar-SA"/>
              </w:rPr>
              <w:t>A. 3: Zvýšit internacionalizaci MSP</w:t>
            </w:r>
          </w:p>
        </w:tc>
        <w:tc>
          <w:tcPr>
            <w:tcW w:w="4678" w:type="dxa"/>
            <w:shd w:val="clear" w:color="auto" w:fill="auto"/>
            <w:vAlign w:val="center"/>
          </w:tcPr>
          <w:p w14:paraId="16BB6D8C" w14:textId="77777777" w:rsidR="00C929F1" w:rsidRPr="00281649" w:rsidRDefault="00C929F1" w:rsidP="00C929F1">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A.3.1: Zvýšení dostupnosti strategických informací o cílových trzích místních MSP</w:t>
            </w:r>
          </w:p>
        </w:tc>
      </w:tr>
      <w:tr w:rsidR="00C929F1" w:rsidRPr="00476621" w14:paraId="1E19CFBB" w14:textId="77777777" w:rsidTr="00605061">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034F8E76" w14:textId="77777777" w:rsidR="00C929F1" w:rsidRPr="00351F89" w:rsidRDefault="00C929F1" w:rsidP="00C929F1">
            <w:pPr>
              <w:spacing w:before="0" w:after="0" w:line="240" w:lineRule="auto"/>
              <w:jc w:val="left"/>
              <w:rPr>
                <w:rFonts w:asciiTheme="majorHAnsi" w:hAnsiTheme="majorHAnsi" w:cstheme="majorHAnsi"/>
                <w:b w:val="0"/>
                <w:i/>
                <w:sz w:val="18"/>
                <w:szCs w:val="18"/>
              </w:rPr>
            </w:pPr>
          </w:p>
        </w:tc>
        <w:tc>
          <w:tcPr>
            <w:tcW w:w="2484" w:type="dxa"/>
            <w:vMerge/>
            <w:shd w:val="clear" w:color="auto" w:fill="auto"/>
            <w:vAlign w:val="center"/>
          </w:tcPr>
          <w:p w14:paraId="1E18E4A4" w14:textId="77777777" w:rsidR="00C929F1" w:rsidRPr="00351F89" w:rsidRDefault="00C929F1" w:rsidP="00C929F1">
            <w:pPr>
              <w:spacing w:before="0" w:after="0" w:line="240" w:lineRule="auto"/>
              <w:ind w:left="34"/>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p>
        </w:tc>
        <w:tc>
          <w:tcPr>
            <w:tcW w:w="4678" w:type="dxa"/>
            <w:shd w:val="clear" w:color="auto" w:fill="auto"/>
            <w:vAlign w:val="center"/>
          </w:tcPr>
          <w:p w14:paraId="3C081BA8" w14:textId="77777777" w:rsidR="00C929F1" w:rsidRPr="00281649" w:rsidRDefault="00C929F1" w:rsidP="00C929F1">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A.3.2: Zlepšení kapacit a kompetencí firem v oblasti marketingu a zahraničního obchodu</w:t>
            </w:r>
          </w:p>
        </w:tc>
      </w:tr>
      <w:tr w:rsidR="00C929F1" w:rsidRPr="00476621" w14:paraId="0C53A681"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5F42E849" w14:textId="77777777" w:rsidR="00C929F1" w:rsidRPr="00351F89" w:rsidRDefault="00C929F1" w:rsidP="00C929F1">
            <w:pPr>
              <w:spacing w:before="0" w:after="0" w:line="240" w:lineRule="auto"/>
              <w:jc w:val="left"/>
              <w:rPr>
                <w:rFonts w:asciiTheme="majorHAnsi" w:hAnsiTheme="majorHAnsi" w:cstheme="majorHAnsi"/>
                <w:b w:val="0"/>
                <w:i/>
                <w:sz w:val="18"/>
                <w:szCs w:val="18"/>
              </w:rPr>
            </w:pPr>
          </w:p>
        </w:tc>
        <w:tc>
          <w:tcPr>
            <w:tcW w:w="2484" w:type="dxa"/>
            <w:vMerge/>
            <w:shd w:val="clear" w:color="auto" w:fill="auto"/>
            <w:vAlign w:val="center"/>
          </w:tcPr>
          <w:p w14:paraId="24D630EE" w14:textId="77777777" w:rsidR="00C929F1" w:rsidRPr="00351F89" w:rsidRDefault="00C929F1" w:rsidP="00C929F1">
            <w:pPr>
              <w:spacing w:before="0" w:after="0" w:line="240" w:lineRule="auto"/>
              <w:ind w:left="34"/>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p>
        </w:tc>
        <w:tc>
          <w:tcPr>
            <w:tcW w:w="4678" w:type="dxa"/>
            <w:shd w:val="clear" w:color="auto" w:fill="auto"/>
            <w:vAlign w:val="center"/>
          </w:tcPr>
          <w:p w14:paraId="481FF054" w14:textId="77777777" w:rsidR="00C929F1" w:rsidRPr="00281649" w:rsidRDefault="00C929F1" w:rsidP="00C929F1">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A.3.3: Snížení nákladů a rizik MSP spojených se vstupem na zahraniční trhy</w:t>
            </w:r>
          </w:p>
        </w:tc>
      </w:tr>
      <w:tr w:rsidR="00C929F1" w:rsidRPr="00476621" w14:paraId="3683E0A3" w14:textId="77777777" w:rsidTr="00605061">
        <w:tc>
          <w:tcPr>
            <w:cnfStyle w:val="001000000000" w:firstRow="0" w:lastRow="0" w:firstColumn="1" w:lastColumn="0" w:oddVBand="0" w:evenVBand="0" w:oddHBand="0" w:evenHBand="0" w:firstRowFirstColumn="0" w:firstRowLastColumn="0" w:lastRowFirstColumn="0" w:lastRowLastColumn="0"/>
            <w:tcW w:w="2052" w:type="dxa"/>
            <w:vMerge w:val="restart"/>
            <w:shd w:val="clear" w:color="auto" w:fill="auto"/>
            <w:vAlign w:val="center"/>
          </w:tcPr>
          <w:p w14:paraId="00274A21" w14:textId="77777777" w:rsidR="00C929F1" w:rsidRPr="00351F89" w:rsidRDefault="00C929F1" w:rsidP="00C929F1">
            <w:pPr>
              <w:spacing w:before="0" w:after="0" w:line="240" w:lineRule="auto"/>
              <w:jc w:val="left"/>
              <w:rPr>
                <w:rFonts w:asciiTheme="majorHAnsi" w:hAnsiTheme="majorHAnsi" w:cstheme="majorHAnsi"/>
                <w:i/>
                <w:sz w:val="18"/>
                <w:szCs w:val="18"/>
              </w:rPr>
            </w:pPr>
            <w:r w:rsidRPr="00351F89">
              <w:rPr>
                <w:rFonts w:asciiTheme="majorHAnsi" w:hAnsiTheme="majorHAnsi" w:cstheme="majorHAnsi"/>
                <w:i/>
                <w:sz w:val="18"/>
                <w:szCs w:val="18"/>
              </w:rPr>
              <w:t>B. Zvýšení kvality veřejného výzkumu</w:t>
            </w:r>
          </w:p>
        </w:tc>
        <w:tc>
          <w:tcPr>
            <w:tcW w:w="2484" w:type="dxa"/>
            <w:vMerge w:val="restart"/>
            <w:shd w:val="clear" w:color="auto" w:fill="auto"/>
            <w:vAlign w:val="center"/>
          </w:tcPr>
          <w:p w14:paraId="7E538E5B" w14:textId="77777777" w:rsidR="00C929F1" w:rsidRPr="00351F89" w:rsidRDefault="00C929F1" w:rsidP="00C929F1">
            <w:pPr>
              <w:spacing w:before="0" w:after="0" w:line="240" w:lineRule="auto"/>
              <w:ind w:left="34"/>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sidRPr="00351F89">
              <w:rPr>
                <w:rFonts w:asciiTheme="majorHAnsi" w:hAnsiTheme="majorHAnsi" w:cstheme="majorHAnsi"/>
                <w:sz w:val="18"/>
                <w:szCs w:val="18"/>
              </w:rPr>
              <w:t>B. 1: Zlepšit kvalitu a problémovou orientaci výzkumu ve znalostních doménách</w:t>
            </w:r>
          </w:p>
        </w:tc>
        <w:tc>
          <w:tcPr>
            <w:tcW w:w="4678" w:type="dxa"/>
            <w:shd w:val="clear" w:color="auto" w:fill="auto"/>
            <w:vAlign w:val="center"/>
          </w:tcPr>
          <w:p w14:paraId="66892601" w14:textId="77777777" w:rsidR="00C929F1" w:rsidRPr="00281649" w:rsidRDefault="00C929F1" w:rsidP="00C929F1">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B.1.1: Zajistit stabilní podmínky pro dlouhodobý rozvoj kvalitních výzkumných pracovišť</w:t>
            </w:r>
          </w:p>
        </w:tc>
      </w:tr>
      <w:tr w:rsidR="00C929F1" w:rsidRPr="00476621" w14:paraId="48F867CB"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7C4D92BF" w14:textId="77777777" w:rsidR="00C929F1" w:rsidRPr="00351F89" w:rsidRDefault="00C929F1" w:rsidP="00C929F1">
            <w:pPr>
              <w:spacing w:before="0" w:after="0" w:line="240" w:lineRule="auto"/>
              <w:jc w:val="left"/>
              <w:rPr>
                <w:rFonts w:asciiTheme="majorHAnsi" w:hAnsiTheme="majorHAnsi" w:cstheme="majorHAnsi"/>
                <w:b w:val="0"/>
                <w:i/>
                <w:sz w:val="18"/>
                <w:szCs w:val="18"/>
              </w:rPr>
            </w:pPr>
          </w:p>
        </w:tc>
        <w:tc>
          <w:tcPr>
            <w:tcW w:w="2484" w:type="dxa"/>
            <w:vMerge/>
            <w:shd w:val="clear" w:color="auto" w:fill="auto"/>
            <w:vAlign w:val="center"/>
          </w:tcPr>
          <w:p w14:paraId="470398CE" w14:textId="77777777" w:rsidR="00C929F1" w:rsidRPr="00351F89" w:rsidRDefault="00C929F1" w:rsidP="00C929F1">
            <w:pPr>
              <w:spacing w:before="0" w:after="0" w:line="240" w:lineRule="auto"/>
              <w:ind w:left="34"/>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p>
        </w:tc>
        <w:tc>
          <w:tcPr>
            <w:tcW w:w="4678" w:type="dxa"/>
            <w:shd w:val="clear" w:color="auto" w:fill="auto"/>
            <w:vAlign w:val="center"/>
          </w:tcPr>
          <w:p w14:paraId="7009F492" w14:textId="77777777" w:rsidR="00C929F1" w:rsidRPr="00281649" w:rsidRDefault="00C929F1" w:rsidP="00C929F1">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 xml:space="preserve">B.1.2: Zvýšit mezinárodní otevřenost veřejného výzkumu v ČR </w:t>
            </w:r>
          </w:p>
        </w:tc>
      </w:tr>
      <w:tr w:rsidR="00C929F1" w:rsidRPr="00476621" w14:paraId="2148C886" w14:textId="77777777" w:rsidTr="00605061">
        <w:tc>
          <w:tcPr>
            <w:cnfStyle w:val="001000000000" w:firstRow="0" w:lastRow="0" w:firstColumn="1" w:lastColumn="0" w:oddVBand="0" w:evenVBand="0" w:oddHBand="0" w:evenHBand="0" w:firstRowFirstColumn="0" w:firstRowLastColumn="0" w:lastRowFirstColumn="0" w:lastRowLastColumn="0"/>
            <w:tcW w:w="2052" w:type="dxa"/>
            <w:vMerge w:val="restart"/>
            <w:shd w:val="clear" w:color="auto" w:fill="auto"/>
            <w:vAlign w:val="center"/>
          </w:tcPr>
          <w:p w14:paraId="7CB2C02B" w14:textId="77777777" w:rsidR="00C929F1" w:rsidRPr="00351F89" w:rsidRDefault="00C929F1" w:rsidP="00C929F1">
            <w:pPr>
              <w:spacing w:before="0" w:after="0" w:line="240" w:lineRule="auto"/>
              <w:jc w:val="left"/>
              <w:rPr>
                <w:rFonts w:asciiTheme="majorHAnsi" w:hAnsiTheme="majorHAnsi" w:cstheme="majorHAnsi"/>
                <w:i/>
                <w:sz w:val="18"/>
                <w:szCs w:val="18"/>
              </w:rPr>
            </w:pPr>
            <w:r w:rsidRPr="00351F89">
              <w:rPr>
                <w:rFonts w:asciiTheme="majorHAnsi" w:eastAsia="Times New Roman" w:hAnsiTheme="majorHAnsi" w:cstheme="majorHAnsi"/>
                <w:bCs w:val="0"/>
                <w:i/>
                <w:color w:val="000000"/>
                <w:spacing w:val="0"/>
                <w:sz w:val="18"/>
                <w:szCs w:val="18"/>
                <w:lang w:eastAsia="cs-CZ" w:bidi="ar-SA"/>
              </w:rPr>
              <w:t>C: Zvýšení ekonomických přínosů veřejného výzkumu</w:t>
            </w:r>
          </w:p>
        </w:tc>
        <w:tc>
          <w:tcPr>
            <w:tcW w:w="2484" w:type="dxa"/>
            <w:vMerge w:val="restart"/>
            <w:shd w:val="clear" w:color="auto" w:fill="auto"/>
            <w:vAlign w:val="center"/>
          </w:tcPr>
          <w:p w14:paraId="70832143" w14:textId="77777777" w:rsidR="00C929F1" w:rsidRPr="00351F89" w:rsidRDefault="00C929F1" w:rsidP="00C929F1">
            <w:pPr>
              <w:spacing w:before="0" w:after="0" w:line="240" w:lineRule="auto"/>
              <w:ind w:left="34"/>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sidRPr="00351F89">
              <w:rPr>
                <w:rFonts w:asciiTheme="majorHAnsi" w:eastAsia="Times New Roman" w:hAnsiTheme="majorHAnsi" w:cstheme="majorHAnsi"/>
                <w:bCs/>
                <w:iCs/>
                <w:color w:val="000000"/>
                <w:spacing w:val="0"/>
                <w:sz w:val="18"/>
                <w:szCs w:val="18"/>
                <w:lang w:eastAsia="cs-CZ" w:bidi="ar-SA"/>
              </w:rPr>
              <w:t>C. 1: Zvýšit relevanci výzkumu pro potřeby aplikační sféry</w:t>
            </w:r>
          </w:p>
        </w:tc>
        <w:tc>
          <w:tcPr>
            <w:tcW w:w="4678" w:type="dxa"/>
            <w:shd w:val="clear" w:color="auto" w:fill="auto"/>
            <w:vAlign w:val="center"/>
          </w:tcPr>
          <w:p w14:paraId="719FFA0D" w14:textId="77777777" w:rsidR="00C929F1" w:rsidRPr="00281649" w:rsidRDefault="00C929F1" w:rsidP="00C929F1">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C.1.1: Posílit spolupráci a interakci mezi VO a aplikační sférou</w:t>
            </w:r>
          </w:p>
        </w:tc>
      </w:tr>
      <w:tr w:rsidR="00C929F1" w:rsidRPr="00476621" w14:paraId="218D2F90"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004183A4" w14:textId="77777777" w:rsidR="00C929F1" w:rsidRPr="00351F89" w:rsidRDefault="00C929F1" w:rsidP="00C929F1">
            <w:pPr>
              <w:spacing w:before="0" w:after="0" w:line="240" w:lineRule="auto"/>
              <w:jc w:val="left"/>
              <w:rPr>
                <w:rFonts w:asciiTheme="majorHAnsi" w:hAnsiTheme="majorHAnsi" w:cstheme="majorHAnsi"/>
                <w:i/>
                <w:sz w:val="18"/>
                <w:szCs w:val="18"/>
              </w:rPr>
            </w:pPr>
          </w:p>
        </w:tc>
        <w:tc>
          <w:tcPr>
            <w:tcW w:w="2484" w:type="dxa"/>
            <w:vMerge/>
            <w:shd w:val="clear" w:color="auto" w:fill="auto"/>
            <w:vAlign w:val="center"/>
          </w:tcPr>
          <w:p w14:paraId="6C63DE93" w14:textId="77777777" w:rsidR="00C929F1" w:rsidRPr="00351F89" w:rsidRDefault="00C929F1" w:rsidP="00C929F1">
            <w:pPr>
              <w:spacing w:before="0" w:after="0" w:line="240" w:lineRule="auto"/>
              <w:ind w:left="34"/>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p>
        </w:tc>
        <w:tc>
          <w:tcPr>
            <w:tcW w:w="4678" w:type="dxa"/>
            <w:shd w:val="clear" w:color="auto" w:fill="auto"/>
            <w:vAlign w:val="center"/>
          </w:tcPr>
          <w:p w14:paraId="4E5EAFDA" w14:textId="77777777" w:rsidR="00C929F1" w:rsidRPr="00281649" w:rsidRDefault="00C929F1" w:rsidP="00C929F1">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C.1.2: Zvýšit komerční využití výsledků VaV a znalostí VO</w:t>
            </w:r>
          </w:p>
        </w:tc>
      </w:tr>
      <w:tr w:rsidR="00C929F1" w:rsidRPr="00476621" w14:paraId="4818B6E9" w14:textId="77777777" w:rsidTr="00605061">
        <w:tc>
          <w:tcPr>
            <w:cnfStyle w:val="001000000000" w:firstRow="0" w:lastRow="0" w:firstColumn="1" w:lastColumn="0" w:oddVBand="0" w:evenVBand="0" w:oddHBand="0" w:evenHBand="0" w:firstRowFirstColumn="0" w:firstRowLastColumn="0" w:lastRowFirstColumn="0" w:lastRowLastColumn="0"/>
            <w:tcW w:w="2052" w:type="dxa"/>
            <w:vMerge w:val="restart"/>
            <w:shd w:val="clear" w:color="auto" w:fill="auto"/>
            <w:vAlign w:val="center"/>
          </w:tcPr>
          <w:p w14:paraId="40667A55" w14:textId="77777777" w:rsidR="00C929F1" w:rsidRPr="00351F89" w:rsidRDefault="00C929F1" w:rsidP="00C929F1">
            <w:pPr>
              <w:spacing w:before="0" w:after="0" w:line="240" w:lineRule="auto"/>
              <w:jc w:val="left"/>
              <w:rPr>
                <w:rFonts w:asciiTheme="majorHAnsi" w:hAnsiTheme="majorHAnsi" w:cstheme="majorHAnsi"/>
                <w:i/>
                <w:sz w:val="18"/>
                <w:szCs w:val="18"/>
              </w:rPr>
            </w:pPr>
            <w:r w:rsidRPr="00351F89">
              <w:rPr>
                <w:rFonts w:asciiTheme="majorHAnsi" w:eastAsia="Times New Roman" w:hAnsiTheme="majorHAnsi" w:cstheme="majorHAnsi"/>
                <w:bCs w:val="0"/>
                <w:i/>
                <w:color w:val="000000"/>
                <w:spacing w:val="0"/>
                <w:sz w:val="18"/>
                <w:szCs w:val="18"/>
                <w:lang w:eastAsia="cs-CZ" w:bidi="ar-SA"/>
              </w:rPr>
              <w:t>D: Lepší dostupnost lidských zdrojů v počtu i kvalitě pro inovační podnikání, výzkum a vývoj</w:t>
            </w:r>
          </w:p>
        </w:tc>
        <w:tc>
          <w:tcPr>
            <w:tcW w:w="2484" w:type="dxa"/>
            <w:vMerge w:val="restart"/>
            <w:shd w:val="clear" w:color="auto" w:fill="auto"/>
            <w:vAlign w:val="center"/>
          </w:tcPr>
          <w:p w14:paraId="366FF29C" w14:textId="77777777" w:rsidR="00C929F1" w:rsidRPr="00351F89" w:rsidRDefault="00C929F1" w:rsidP="00C929F1">
            <w:pPr>
              <w:spacing w:before="0" w:after="0" w:line="240" w:lineRule="auto"/>
              <w:ind w:left="34"/>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sidRPr="00351F89">
              <w:rPr>
                <w:rFonts w:asciiTheme="majorHAnsi" w:eastAsia="Times New Roman" w:hAnsiTheme="majorHAnsi" w:cstheme="majorHAnsi"/>
                <w:bCs/>
                <w:iCs/>
                <w:color w:val="000000"/>
                <w:spacing w:val="0"/>
                <w:sz w:val="18"/>
                <w:szCs w:val="18"/>
                <w:lang w:eastAsia="cs-CZ" w:bidi="ar-SA"/>
              </w:rPr>
              <w:t>D. 1: Zvýšit kvalitu absolventů škol</w:t>
            </w:r>
          </w:p>
        </w:tc>
        <w:tc>
          <w:tcPr>
            <w:tcW w:w="4678" w:type="dxa"/>
            <w:shd w:val="clear" w:color="auto" w:fill="auto"/>
            <w:vAlign w:val="center"/>
          </w:tcPr>
          <w:p w14:paraId="7FBB1B71" w14:textId="77777777" w:rsidR="00C929F1" w:rsidRPr="00281649" w:rsidRDefault="00C929F1" w:rsidP="00C929F1">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D.1.1: Vytvořit funkční vztah mezi školami a zaměstnavateli</w:t>
            </w:r>
          </w:p>
        </w:tc>
      </w:tr>
      <w:tr w:rsidR="00C929F1" w:rsidRPr="00476621" w14:paraId="6B6DA6CE"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772DE208" w14:textId="77777777" w:rsidR="00C929F1" w:rsidRPr="00351F89" w:rsidRDefault="00C929F1" w:rsidP="00C929F1">
            <w:pPr>
              <w:spacing w:before="0" w:after="0" w:line="240" w:lineRule="auto"/>
              <w:jc w:val="left"/>
              <w:rPr>
                <w:rFonts w:asciiTheme="majorHAnsi" w:hAnsiTheme="majorHAnsi" w:cstheme="majorHAnsi"/>
                <w:b w:val="0"/>
                <w:i/>
                <w:sz w:val="18"/>
                <w:szCs w:val="18"/>
              </w:rPr>
            </w:pPr>
          </w:p>
        </w:tc>
        <w:tc>
          <w:tcPr>
            <w:tcW w:w="2484" w:type="dxa"/>
            <w:vMerge/>
            <w:shd w:val="clear" w:color="auto" w:fill="auto"/>
            <w:vAlign w:val="center"/>
          </w:tcPr>
          <w:p w14:paraId="3645417F" w14:textId="77777777" w:rsidR="00C929F1" w:rsidRPr="00351F89" w:rsidRDefault="00C929F1" w:rsidP="00C929F1">
            <w:pPr>
              <w:spacing w:before="0" w:after="0" w:line="240" w:lineRule="auto"/>
              <w:ind w:left="34"/>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p>
        </w:tc>
        <w:tc>
          <w:tcPr>
            <w:tcW w:w="4678" w:type="dxa"/>
            <w:shd w:val="clear" w:color="auto" w:fill="auto"/>
            <w:vAlign w:val="center"/>
          </w:tcPr>
          <w:p w14:paraId="19EE70E4" w14:textId="77777777" w:rsidR="00C929F1" w:rsidRPr="00281649" w:rsidRDefault="00C929F1" w:rsidP="00C929F1">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D.1.2: Zvýšit úroveň podnikavosti a dalších měkkých kompetencí</w:t>
            </w:r>
          </w:p>
        </w:tc>
      </w:tr>
      <w:tr w:rsidR="00C929F1" w:rsidRPr="00476621" w14:paraId="0F8061EF" w14:textId="77777777" w:rsidTr="00605061">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68A50DB7" w14:textId="77777777" w:rsidR="00C929F1" w:rsidRPr="00351F89" w:rsidRDefault="00C929F1" w:rsidP="00C929F1">
            <w:pPr>
              <w:spacing w:before="0" w:after="0" w:line="240" w:lineRule="auto"/>
              <w:jc w:val="left"/>
              <w:rPr>
                <w:rFonts w:asciiTheme="majorHAnsi" w:hAnsiTheme="majorHAnsi" w:cstheme="majorHAnsi"/>
                <w:b w:val="0"/>
                <w:i/>
                <w:sz w:val="18"/>
                <w:szCs w:val="18"/>
              </w:rPr>
            </w:pPr>
          </w:p>
        </w:tc>
        <w:tc>
          <w:tcPr>
            <w:tcW w:w="2484" w:type="dxa"/>
            <w:vMerge/>
            <w:shd w:val="clear" w:color="auto" w:fill="auto"/>
            <w:vAlign w:val="center"/>
          </w:tcPr>
          <w:p w14:paraId="1F0C2071" w14:textId="77777777" w:rsidR="00C929F1" w:rsidRPr="00351F89" w:rsidRDefault="00C929F1" w:rsidP="00C929F1">
            <w:pPr>
              <w:spacing w:before="0" w:after="0" w:line="240" w:lineRule="auto"/>
              <w:ind w:left="34"/>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p>
        </w:tc>
        <w:tc>
          <w:tcPr>
            <w:tcW w:w="4678" w:type="dxa"/>
            <w:shd w:val="clear" w:color="auto" w:fill="auto"/>
            <w:vAlign w:val="center"/>
          </w:tcPr>
          <w:p w14:paraId="2F45454D" w14:textId="77777777" w:rsidR="00C929F1" w:rsidRPr="00281649" w:rsidRDefault="00C929F1" w:rsidP="00C929F1">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D.1.3: Zvýšit aktivní znalost angličtiny a dalšího cizího jazyka</w:t>
            </w:r>
          </w:p>
        </w:tc>
      </w:tr>
      <w:tr w:rsidR="00C929F1" w:rsidRPr="00476621" w14:paraId="72DF5B86"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4B39C1D3" w14:textId="77777777" w:rsidR="00C929F1" w:rsidRPr="00351F89" w:rsidRDefault="00C929F1" w:rsidP="00C929F1">
            <w:pPr>
              <w:spacing w:before="0" w:after="0" w:line="240" w:lineRule="auto"/>
              <w:jc w:val="left"/>
              <w:rPr>
                <w:rFonts w:asciiTheme="majorHAnsi" w:hAnsiTheme="majorHAnsi" w:cstheme="majorHAnsi"/>
                <w:b w:val="0"/>
                <w:i/>
                <w:sz w:val="18"/>
                <w:szCs w:val="18"/>
              </w:rPr>
            </w:pPr>
          </w:p>
        </w:tc>
        <w:tc>
          <w:tcPr>
            <w:tcW w:w="2484" w:type="dxa"/>
            <w:vMerge w:val="restart"/>
            <w:shd w:val="clear" w:color="auto" w:fill="auto"/>
            <w:vAlign w:val="center"/>
          </w:tcPr>
          <w:p w14:paraId="01CD97BE" w14:textId="77777777" w:rsidR="00C929F1" w:rsidRPr="00351F89" w:rsidRDefault="00C929F1" w:rsidP="00C929F1">
            <w:pPr>
              <w:spacing w:before="0" w:after="0" w:line="240" w:lineRule="auto"/>
              <w:ind w:left="34"/>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sidRPr="00351F89">
              <w:rPr>
                <w:rFonts w:asciiTheme="majorHAnsi" w:eastAsia="Times New Roman" w:hAnsiTheme="majorHAnsi" w:cstheme="majorHAnsi"/>
                <w:bCs/>
                <w:iCs/>
                <w:color w:val="000000"/>
                <w:spacing w:val="0"/>
                <w:sz w:val="18"/>
                <w:szCs w:val="18"/>
                <w:lang w:eastAsia="cs-CZ" w:bidi="ar-SA"/>
              </w:rPr>
              <w:t>D. 2: Identifikovat a využít talenty</w:t>
            </w:r>
          </w:p>
        </w:tc>
        <w:tc>
          <w:tcPr>
            <w:tcW w:w="4678" w:type="dxa"/>
            <w:shd w:val="clear" w:color="auto" w:fill="auto"/>
            <w:vAlign w:val="center"/>
          </w:tcPr>
          <w:p w14:paraId="47431091" w14:textId="77777777" w:rsidR="00C929F1" w:rsidRPr="00281649" w:rsidRDefault="00C929F1" w:rsidP="00C929F1">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 xml:space="preserve">D.2.1: Vytvořit systém identifikace a rozvoje přirozeného nadání </w:t>
            </w:r>
          </w:p>
        </w:tc>
      </w:tr>
      <w:tr w:rsidR="00C929F1" w:rsidRPr="00476621" w14:paraId="440EFE32" w14:textId="77777777" w:rsidTr="00605061">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7DC71425" w14:textId="77777777" w:rsidR="00C929F1" w:rsidRPr="00351F89" w:rsidRDefault="00C929F1" w:rsidP="00C929F1">
            <w:pPr>
              <w:spacing w:before="0" w:after="0" w:line="240" w:lineRule="auto"/>
              <w:jc w:val="left"/>
              <w:rPr>
                <w:rFonts w:asciiTheme="majorHAnsi" w:hAnsiTheme="majorHAnsi" w:cstheme="majorHAnsi"/>
                <w:b w:val="0"/>
                <w:i/>
                <w:sz w:val="18"/>
                <w:szCs w:val="18"/>
              </w:rPr>
            </w:pPr>
          </w:p>
        </w:tc>
        <w:tc>
          <w:tcPr>
            <w:tcW w:w="2484" w:type="dxa"/>
            <w:vMerge/>
            <w:shd w:val="clear" w:color="auto" w:fill="auto"/>
            <w:vAlign w:val="center"/>
          </w:tcPr>
          <w:p w14:paraId="595CC201" w14:textId="77777777" w:rsidR="00C929F1" w:rsidRPr="00351F89" w:rsidRDefault="00C929F1" w:rsidP="00C929F1">
            <w:pPr>
              <w:spacing w:before="0" w:after="0" w:line="240" w:lineRule="auto"/>
              <w:ind w:left="34"/>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p>
        </w:tc>
        <w:tc>
          <w:tcPr>
            <w:tcW w:w="4678" w:type="dxa"/>
            <w:shd w:val="clear" w:color="auto" w:fill="auto"/>
            <w:vAlign w:val="center"/>
          </w:tcPr>
          <w:p w14:paraId="568B9639" w14:textId="77777777" w:rsidR="00C929F1" w:rsidRPr="00281649" w:rsidRDefault="00C929F1" w:rsidP="00C929F1">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D.2.2: Připravit inovátory příští generace</w:t>
            </w:r>
          </w:p>
        </w:tc>
      </w:tr>
      <w:tr w:rsidR="00C929F1" w:rsidRPr="00476621" w14:paraId="72F8063A"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0E3A96D0" w14:textId="77777777" w:rsidR="00C929F1" w:rsidRPr="00351F89" w:rsidRDefault="00C929F1" w:rsidP="00C929F1">
            <w:pPr>
              <w:spacing w:before="0" w:after="0" w:line="240" w:lineRule="auto"/>
              <w:jc w:val="left"/>
              <w:rPr>
                <w:rFonts w:asciiTheme="majorHAnsi" w:hAnsiTheme="majorHAnsi" w:cstheme="majorHAnsi"/>
                <w:b w:val="0"/>
                <w:i/>
                <w:sz w:val="18"/>
                <w:szCs w:val="18"/>
              </w:rPr>
            </w:pPr>
          </w:p>
        </w:tc>
        <w:tc>
          <w:tcPr>
            <w:tcW w:w="2484" w:type="dxa"/>
            <w:vMerge/>
            <w:shd w:val="clear" w:color="auto" w:fill="auto"/>
            <w:vAlign w:val="center"/>
          </w:tcPr>
          <w:p w14:paraId="78B86A73" w14:textId="77777777" w:rsidR="00C929F1" w:rsidRPr="00351F89" w:rsidRDefault="00C929F1" w:rsidP="00C929F1">
            <w:pPr>
              <w:spacing w:before="0" w:after="0" w:line="240" w:lineRule="auto"/>
              <w:ind w:left="34"/>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p>
        </w:tc>
        <w:tc>
          <w:tcPr>
            <w:tcW w:w="4678" w:type="dxa"/>
            <w:shd w:val="clear" w:color="auto" w:fill="auto"/>
            <w:vAlign w:val="center"/>
          </w:tcPr>
          <w:p w14:paraId="55D8A328" w14:textId="77777777" w:rsidR="00C929F1" w:rsidRPr="00281649" w:rsidRDefault="00C929F1" w:rsidP="00C929F1">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D.2.3: Vytvořit systém pro získání a adaptaci vysoce kvalifikovaných lidí do ČR</w:t>
            </w:r>
          </w:p>
        </w:tc>
      </w:tr>
      <w:tr w:rsidR="00C929F1" w:rsidRPr="00476621" w14:paraId="25C1713E" w14:textId="77777777" w:rsidTr="00605061">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3013D0F6" w14:textId="77777777" w:rsidR="00C929F1" w:rsidRPr="00351F89" w:rsidRDefault="00C929F1" w:rsidP="00C929F1">
            <w:pPr>
              <w:spacing w:before="0" w:after="0" w:line="240" w:lineRule="auto"/>
              <w:jc w:val="left"/>
              <w:rPr>
                <w:rFonts w:asciiTheme="majorHAnsi" w:hAnsiTheme="majorHAnsi" w:cstheme="majorHAnsi"/>
                <w:b w:val="0"/>
                <w:i/>
                <w:sz w:val="18"/>
                <w:szCs w:val="18"/>
              </w:rPr>
            </w:pPr>
          </w:p>
        </w:tc>
        <w:tc>
          <w:tcPr>
            <w:tcW w:w="2484" w:type="dxa"/>
            <w:vMerge w:val="restart"/>
            <w:shd w:val="clear" w:color="auto" w:fill="auto"/>
            <w:vAlign w:val="center"/>
          </w:tcPr>
          <w:p w14:paraId="03444ACF" w14:textId="77777777" w:rsidR="00C929F1" w:rsidRPr="00351F89" w:rsidRDefault="00C929F1" w:rsidP="00C929F1">
            <w:pPr>
              <w:spacing w:before="0" w:after="0" w:line="240" w:lineRule="auto"/>
              <w:ind w:left="34"/>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sidRPr="00351F89">
              <w:rPr>
                <w:rFonts w:asciiTheme="majorHAnsi" w:eastAsia="Times New Roman" w:hAnsiTheme="majorHAnsi" w:cstheme="majorHAnsi"/>
                <w:bCs/>
                <w:iCs/>
                <w:color w:val="000000"/>
                <w:spacing w:val="0"/>
                <w:sz w:val="18"/>
                <w:szCs w:val="18"/>
                <w:lang w:eastAsia="cs-CZ" w:bidi="ar-SA"/>
              </w:rPr>
              <w:t>D. 3: Zvýšit kvalitu pracovníků ve výzkumu a vývoji</w:t>
            </w:r>
          </w:p>
        </w:tc>
        <w:tc>
          <w:tcPr>
            <w:tcW w:w="4678" w:type="dxa"/>
            <w:shd w:val="clear" w:color="auto" w:fill="auto"/>
            <w:vAlign w:val="center"/>
          </w:tcPr>
          <w:p w14:paraId="6DF687B7" w14:textId="77777777" w:rsidR="00C929F1" w:rsidRPr="00281649" w:rsidRDefault="00C929F1" w:rsidP="00C929F1">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D.3.1: Zvýšit úroveň strategického i operativního řízení a vytvořit předpoklady pro zvýšení kvality výzkumných organizací</w:t>
            </w:r>
          </w:p>
        </w:tc>
      </w:tr>
      <w:tr w:rsidR="00C929F1" w:rsidRPr="00476621" w14:paraId="3A4A4229"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09222860" w14:textId="77777777" w:rsidR="00C929F1" w:rsidRPr="00351F89" w:rsidRDefault="00C929F1" w:rsidP="00C929F1">
            <w:pPr>
              <w:spacing w:before="0" w:after="0" w:line="240" w:lineRule="auto"/>
              <w:jc w:val="left"/>
              <w:rPr>
                <w:rFonts w:asciiTheme="majorHAnsi" w:hAnsiTheme="majorHAnsi" w:cstheme="majorHAnsi"/>
                <w:b w:val="0"/>
                <w:i/>
                <w:sz w:val="18"/>
                <w:szCs w:val="18"/>
              </w:rPr>
            </w:pPr>
          </w:p>
        </w:tc>
        <w:tc>
          <w:tcPr>
            <w:tcW w:w="2484" w:type="dxa"/>
            <w:vMerge/>
            <w:shd w:val="clear" w:color="auto" w:fill="auto"/>
            <w:vAlign w:val="center"/>
          </w:tcPr>
          <w:p w14:paraId="7E739DF9" w14:textId="77777777" w:rsidR="00C929F1" w:rsidRPr="00351F89" w:rsidRDefault="00C929F1" w:rsidP="00C929F1">
            <w:pPr>
              <w:spacing w:before="0" w:after="0" w:line="240" w:lineRule="auto"/>
              <w:ind w:left="34"/>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p>
        </w:tc>
        <w:tc>
          <w:tcPr>
            <w:tcW w:w="4678" w:type="dxa"/>
            <w:shd w:val="clear" w:color="auto" w:fill="auto"/>
            <w:vAlign w:val="center"/>
          </w:tcPr>
          <w:p w14:paraId="34805504" w14:textId="77777777" w:rsidR="00C929F1" w:rsidRPr="00281649" w:rsidRDefault="00C929F1" w:rsidP="00C929F1">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 xml:space="preserve">D.3.2: Zavést efektivní systém řízení lidských zdrojů ve výzkumných ústavech, vysokých školách a jejich fakultách  </w:t>
            </w:r>
          </w:p>
        </w:tc>
      </w:tr>
      <w:tr w:rsidR="00C929F1" w:rsidRPr="00476621" w14:paraId="11C1B5A2" w14:textId="77777777" w:rsidTr="00605061">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4DD8F237" w14:textId="77777777" w:rsidR="00C929F1" w:rsidRPr="00351F89" w:rsidRDefault="00C929F1" w:rsidP="00C929F1">
            <w:pPr>
              <w:spacing w:before="0" w:after="0" w:line="240" w:lineRule="auto"/>
              <w:jc w:val="left"/>
              <w:rPr>
                <w:rFonts w:asciiTheme="majorHAnsi" w:hAnsiTheme="majorHAnsi" w:cstheme="majorHAnsi"/>
                <w:b w:val="0"/>
                <w:i/>
                <w:sz w:val="18"/>
                <w:szCs w:val="18"/>
              </w:rPr>
            </w:pPr>
          </w:p>
        </w:tc>
        <w:tc>
          <w:tcPr>
            <w:tcW w:w="2484" w:type="dxa"/>
            <w:vMerge/>
            <w:shd w:val="clear" w:color="auto" w:fill="auto"/>
            <w:vAlign w:val="center"/>
          </w:tcPr>
          <w:p w14:paraId="16D10139" w14:textId="77777777" w:rsidR="00C929F1" w:rsidRPr="00351F89" w:rsidRDefault="00C929F1" w:rsidP="00C929F1">
            <w:pPr>
              <w:spacing w:before="0" w:after="0" w:line="240" w:lineRule="auto"/>
              <w:ind w:left="34"/>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p>
        </w:tc>
        <w:tc>
          <w:tcPr>
            <w:tcW w:w="4678" w:type="dxa"/>
            <w:shd w:val="clear" w:color="auto" w:fill="auto"/>
            <w:vAlign w:val="center"/>
          </w:tcPr>
          <w:p w14:paraId="6B28A7FE" w14:textId="77777777" w:rsidR="00C929F1" w:rsidRPr="00281649" w:rsidRDefault="00C929F1" w:rsidP="00C929F1">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D.3.3: Zvýšit atraktivitu výzkumné kariéry a kvalitu přípravy budoucích výzkumných pracovníků</w:t>
            </w:r>
          </w:p>
        </w:tc>
      </w:tr>
      <w:tr w:rsidR="00C929F1" w:rsidRPr="00476621" w14:paraId="2C7724CC"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2" w:type="dxa"/>
            <w:vMerge w:val="restart"/>
            <w:shd w:val="clear" w:color="auto" w:fill="auto"/>
            <w:vAlign w:val="center"/>
          </w:tcPr>
          <w:p w14:paraId="4F61D327" w14:textId="77777777" w:rsidR="00C929F1" w:rsidRPr="00351F89" w:rsidRDefault="00C929F1" w:rsidP="00C929F1">
            <w:pPr>
              <w:spacing w:before="0" w:after="0" w:line="240" w:lineRule="auto"/>
              <w:jc w:val="left"/>
              <w:rPr>
                <w:rFonts w:asciiTheme="majorHAnsi" w:hAnsiTheme="majorHAnsi" w:cstheme="majorHAnsi"/>
                <w:i/>
                <w:sz w:val="18"/>
                <w:szCs w:val="18"/>
              </w:rPr>
            </w:pPr>
            <w:r w:rsidRPr="00351F89">
              <w:rPr>
                <w:rFonts w:asciiTheme="majorHAnsi" w:eastAsia="Times New Roman" w:hAnsiTheme="majorHAnsi" w:cstheme="majorHAnsi"/>
                <w:bCs w:val="0"/>
                <w:i/>
                <w:color w:val="000000"/>
                <w:spacing w:val="0"/>
                <w:sz w:val="18"/>
                <w:szCs w:val="18"/>
                <w:lang w:eastAsia="cs-CZ" w:bidi="ar-SA"/>
              </w:rPr>
              <w:t>E: Rozvoj eGovernmentu a eBusinessu pro zvýšení konkurence-schopnosti (rozvoj ICT a digitální agenda)</w:t>
            </w:r>
          </w:p>
        </w:tc>
        <w:tc>
          <w:tcPr>
            <w:tcW w:w="2484" w:type="dxa"/>
            <w:vMerge w:val="restart"/>
            <w:shd w:val="clear" w:color="auto" w:fill="auto"/>
            <w:vAlign w:val="center"/>
          </w:tcPr>
          <w:p w14:paraId="76EE6E0F" w14:textId="77777777" w:rsidR="00C929F1" w:rsidRPr="00351F89" w:rsidRDefault="00C929F1" w:rsidP="00C929F1">
            <w:pPr>
              <w:spacing w:before="0" w:after="0" w:line="240" w:lineRule="auto"/>
              <w:ind w:left="34"/>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sidRPr="00351F89">
              <w:rPr>
                <w:rFonts w:asciiTheme="majorHAnsi" w:eastAsia="Times New Roman" w:hAnsiTheme="majorHAnsi" w:cstheme="majorHAnsi"/>
                <w:bCs/>
                <w:iCs/>
                <w:color w:val="000000"/>
                <w:spacing w:val="0"/>
                <w:sz w:val="18"/>
                <w:szCs w:val="18"/>
                <w:lang w:eastAsia="cs-CZ" w:bidi="ar-SA"/>
              </w:rPr>
              <w:t>E. 1: Rozvoj eGovernmentu</w:t>
            </w:r>
          </w:p>
        </w:tc>
        <w:tc>
          <w:tcPr>
            <w:tcW w:w="4678" w:type="dxa"/>
            <w:shd w:val="clear" w:color="auto" w:fill="auto"/>
            <w:vAlign w:val="center"/>
          </w:tcPr>
          <w:p w14:paraId="34012F0F" w14:textId="77777777" w:rsidR="00C929F1" w:rsidRPr="00281649" w:rsidRDefault="00C929F1" w:rsidP="00C929F1">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E.1.1: Zefektivnění vnější komunikace veřejné správy a komunikace s klienty</w:t>
            </w:r>
          </w:p>
        </w:tc>
      </w:tr>
      <w:tr w:rsidR="00C929F1" w:rsidRPr="00476621" w14:paraId="67DFFC15" w14:textId="77777777" w:rsidTr="00605061">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71CB717C" w14:textId="77777777" w:rsidR="00C929F1" w:rsidRPr="00351F89" w:rsidRDefault="00C929F1" w:rsidP="00C929F1">
            <w:pPr>
              <w:spacing w:before="0" w:after="0" w:line="240" w:lineRule="auto"/>
              <w:jc w:val="left"/>
              <w:rPr>
                <w:rFonts w:asciiTheme="majorHAnsi" w:hAnsiTheme="majorHAnsi" w:cstheme="majorHAnsi"/>
                <w:i/>
                <w:sz w:val="18"/>
                <w:szCs w:val="18"/>
              </w:rPr>
            </w:pPr>
          </w:p>
        </w:tc>
        <w:tc>
          <w:tcPr>
            <w:tcW w:w="2484" w:type="dxa"/>
            <w:vMerge/>
            <w:shd w:val="clear" w:color="auto" w:fill="auto"/>
            <w:vAlign w:val="center"/>
          </w:tcPr>
          <w:p w14:paraId="24CD97E9" w14:textId="77777777" w:rsidR="00C929F1" w:rsidRPr="00351F89" w:rsidRDefault="00C929F1" w:rsidP="00C929F1">
            <w:pPr>
              <w:spacing w:before="0" w:after="0" w:line="240" w:lineRule="auto"/>
              <w:ind w:left="34"/>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p>
        </w:tc>
        <w:tc>
          <w:tcPr>
            <w:tcW w:w="4678" w:type="dxa"/>
            <w:shd w:val="clear" w:color="auto" w:fill="auto"/>
            <w:vAlign w:val="center"/>
          </w:tcPr>
          <w:p w14:paraId="7E4994D7" w14:textId="77777777" w:rsidR="00C929F1" w:rsidRPr="00281649" w:rsidRDefault="00C929F1" w:rsidP="00C929F1">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E.1.2: Zefektivnění interní komunikace veřejné správy</w:t>
            </w:r>
          </w:p>
        </w:tc>
      </w:tr>
      <w:tr w:rsidR="00C929F1" w:rsidRPr="00476621" w14:paraId="12328E17"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16D694C3" w14:textId="77777777" w:rsidR="00C929F1" w:rsidRPr="00351F89" w:rsidRDefault="00C929F1" w:rsidP="00C929F1">
            <w:pPr>
              <w:spacing w:before="0" w:after="0" w:line="240" w:lineRule="auto"/>
              <w:jc w:val="left"/>
              <w:rPr>
                <w:rFonts w:asciiTheme="majorHAnsi" w:hAnsiTheme="majorHAnsi" w:cstheme="majorHAnsi"/>
                <w:i/>
                <w:sz w:val="18"/>
                <w:szCs w:val="18"/>
              </w:rPr>
            </w:pPr>
          </w:p>
        </w:tc>
        <w:tc>
          <w:tcPr>
            <w:tcW w:w="2484" w:type="dxa"/>
            <w:vMerge/>
            <w:shd w:val="clear" w:color="auto" w:fill="auto"/>
            <w:vAlign w:val="center"/>
          </w:tcPr>
          <w:p w14:paraId="4115BC3B" w14:textId="77777777" w:rsidR="00C929F1" w:rsidRPr="00351F89" w:rsidRDefault="00C929F1" w:rsidP="00C929F1">
            <w:pPr>
              <w:spacing w:before="0" w:after="0" w:line="240" w:lineRule="auto"/>
              <w:ind w:left="34"/>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p>
        </w:tc>
        <w:tc>
          <w:tcPr>
            <w:tcW w:w="4678" w:type="dxa"/>
            <w:shd w:val="clear" w:color="auto" w:fill="auto"/>
            <w:vAlign w:val="center"/>
          </w:tcPr>
          <w:p w14:paraId="79E2F088" w14:textId="77777777" w:rsidR="00C929F1" w:rsidRPr="00281649" w:rsidRDefault="00C929F1" w:rsidP="00C929F1">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E.1.3: Zajištění bezpečnosti při využívání eGovernmentu</w:t>
            </w:r>
          </w:p>
        </w:tc>
      </w:tr>
      <w:tr w:rsidR="00C929F1" w:rsidRPr="00476621" w14:paraId="3E2B68B7" w14:textId="77777777" w:rsidTr="00605061">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3881C56C" w14:textId="77777777" w:rsidR="00C929F1" w:rsidRPr="00351F89" w:rsidRDefault="00C929F1" w:rsidP="00C929F1">
            <w:pPr>
              <w:spacing w:before="0" w:after="0" w:line="240" w:lineRule="auto"/>
              <w:jc w:val="left"/>
              <w:rPr>
                <w:rFonts w:asciiTheme="majorHAnsi" w:hAnsiTheme="majorHAnsi" w:cstheme="majorHAnsi"/>
                <w:i/>
                <w:sz w:val="18"/>
                <w:szCs w:val="18"/>
              </w:rPr>
            </w:pPr>
          </w:p>
        </w:tc>
        <w:tc>
          <w:tcPr>
            <w:tcW w:w="2484" w:type="dxa"/>
            <w:shd w:val="clear" w:color="auto" w:fill="auto"/>
            <w:vAlign w:val="center"/>
          </w:tcPr>
          <w:p w14:paraId="657F9B7F" w14:textId="77777777" w:rsidR="00C929F1" w:rsidRPr="00351F89" w:rsidRDefault="00C929F1" w:rsidP="00C929F1">
            <w:pPr>
              <w:spacing w:before="0" w:after="0" w:line="240" w:lineRule="auto"/>
              <w:ind w:left="34"/>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sidRPr="00351F89">
              <w:rPr>
                <w:rFonts w:asciiTheme="majorHAnsi" w:eastAsia="Times New Roman" w:hAnsiTheme="majorHAnsi" w:cstheme="majorHAnsi"/>
                <w:bCs/>
                <w:iCs/>
                <w:color w:val="000000"/>
                <w:spacing w:val="0"/>
                <w:sz w:val="18"/>
                <w:szCs w:val="18"/>
                <w:lang w:eastAsia="cs-CZ" w:bidi="ar-SA"/>
              </w:rPr>
              <w:t>E. 2: Rozvoj eBusinessu a ICT v podnikání</w:t>
            </w:r>
          </w:p>
        </w:tc>
        <w:tc>
          <w:tcPr>
            <w:tcW w:w="4678" w:type="dxa"/>
            <w:shd w:val="clear" w:color="auto" w:fill="auto"/>
            <w:vAlign w:val="center"/>
          </w:tcPr>
          <w:p w14:paraId="6B7D3A1D" w14:textId="77777777" w:rsidR="00C929F1" w:rsidRPr="00281649" w:rsidRDefault="00C929F1" w:rsidP="00C929F1">
            <w:pPr>
              <w:spacing w:before="0" w:after="0" w:line="240" w:lineRule="auto"/>
              <w:ind w:left="34"/>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8"/>
                <w:szCs w:val="18"/>
              </w:rPr>
            </w:pPr>
            <w:r w:rsidRPr="00281649">
              <w:rPr>
                <w:rFonts w:asciiTheme="majorHAnsi" w:eastAsia="Times New Roman" w:hAnsiTheme="majorHAnsi" w:cstheme="majorHAnsi"/>
                <w:color w:val="000000"/>
                <w:spacing w:val="0"/>
                <w:sz w:val="18"/>
                <w:szCs w:val="18"/>
                <w:lang w:eastAsia="cs-CZ" w:bidi="ar-SA"/>
              </w:rPr>
              <w:t>E.2.1: Vyšší využívání ICT v podnikání</w:t>
            </w:r>
          </w:p>
        </w:tc>
      </w:tr>
      <w:tr w:rsidR="00C929F1" w:rsidRPr="00476621" w14:paraId="14E1C70A"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225D09D3" w14:textId="77777777" w:rsidR="00C929F1" w:rsidRPr="00351F89" w:rsidRDefault="00C929F1" w:rsidP="00C929F1">
            <w:pPr>
              <w:spacing w:before="0" w:after="0" w:line="240" w:lineRule="auto"/>
              <w:jc w:val="left"/>
              <w:rPr>
                <w:rFonts w:asciiTheme="majorHAnsi" w:hAnsiTheme="majorHAnsi" w:cstheme="majorHAnsi"/>
                <w:i/>
                <w:sz w:val="18"/>
                <w:szCs w:val="18"/>
              </w:rPr>
            </w:pPr>
          </w:p>
        </w:tc>
        <w:tc>
          <w:tcPr>
            <w:tcW w:w="2484" w:type="dxa"/>
            <w:vMerge w:val="restart"/>
            <w:shd w:val="clear" w:color="auto" w:fill="auto"/>
            <w:vAlign w:val="center"/>
          </w:tcPr>
          <w:p w14:paraId="664EB938" w14:textId="77777777" w:rsidR="00C929F1" w:rsidRPr="00351F89" w:rsidRDefault="00C929F1" w:rsidP="00C929F1">
            <w:pPr>
              <w:spacing w:before="0" w:after="0" w:line="240" w:lineRule="auto"/>
              <w:ind w:left="34"/>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szCs w:val="18"/>
              </w:rPr>
            </w:pPr>
            <w:r w:rsidRPr="00351F89">
              <w:rPr>
                <w:rFonts w:asciiTheme="majorHAnsi" w:eastAsia="Times New Roman" w:hAnsiTheme="majorHAnsi" w:cstheme="majorHAnsi"/>
                <w:bCs/>
                <w:iCs/>
                <w:color w:val="000000"/>
                <w:spacing w:val="0"/>
                <w:sz w:val="18"/>
                <w:szCs w:val="18"/>
                <w:lang w:eastAsia="cs-CZ" w:bidi="ar-SA"/>
              </w:rPr>
              <w:t>E. 3: Rozvoj Infrastruktury v ICT</w:t>
            </w:r>
          </w:p>
        </w:tc>
        <w:tc>
          <w:tcPr>
            <w:tcW w:w="4678" w:type="dxa"/>
            <w:shd w:val="clear" w:color="auto" w:fill="auto"/>
            <w:vAlign w:val="center"/>
          </w:tcPr>
          <w:p w14:paraId="752483D0" w14:textId="77777777" w:rsidR="00C929F1" w:rsidRPr="00281649" w:rsidRDefault="00C929F1" w:rsidP="00C929F1">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E.3.1: Rozvoj ICT sloužící pro výzkum a vývoj</w:t>
            </w:r>
          </w:p>
        </w:tc>
      </w:tr>
      <w:tr w:rsidR="00C929F1" w:rsidRPr="00476621" w14:paraId="165120C0" w14:textId="77777777" w:rsidTr="00605061">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349D8381" w14:textId="77777777" w:rsidR="00C929F1" w:rsidRPr="00351F89" w:rsidRDefault="00C929F1" w:rsidP="00C929F1">
            <w:pPr>
              <w:spacing w:before="0" w:after="0" w:line="240" w:lineRule="auto"/>
              <w:jc w:val="left"/>
              <w:rPr>
                <w:rFonts w:asciiTheme="majorHAnsi" w:hAnsiTheme="majorHAnsi" w:cstheme="majorHAnsi"/>
                <w:i/>
                <w:sz w:val="18"/>
                <w:szCs w:val="18"/>
              </w:rPr>
            </w:pPr>
          </w:p>
        </w:tc>
        <w:tc>
          <w:tcPr>
            <w:tcW w:w="2484" w:type="dxa"/>
            <w:vMerge/>
            <w:shd w:val="clear" w:color="auto" w:fill="auto"/>
            <w:vAlign w:val="center"/>
          </w:tcPr>
          <w:p w14:paraId="19CAC089" w14:textId="77777777" w:rsidR="00C929F1" w:rsidRPr="00281649" w:rsidRDefault="00C929F1" w:rsidP="00C929F1">
            <w:pPr>
              <w:spacing w:before="0" w:after="0" w:line="240" w:lineRule="auto"/>
              <w:ind w:left="34"/>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rPr>
            </w:pPr>
          </w:p>
        </w:tc>
        <w:tc>
          <w:tcPr>
            <w:tcW w:w="4678" w:type="dxa"/>
            <w:shd w:val="clear" w:color="auto" w:fill="auto"/>
            <w:vAlign w:val="center"/>
          </w:tcPr>
          <w:p w14:paraId="124904FD" w14:textId="77777777" w:rsidR="00C929F1" w:rsidRPr="00281649" w:rsidRDefault="00C929F1" w:rsidP="00C929F1">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E.3.2: Zvýšení kapacity a kvality veřejné ICT infrastruktury</w:t>
            </w:r>
          </w:p>
        </w:tc>
      </w:tr>
      <w:tr w:rsidR="00C929F1" w:rsidRPr="00476621" w14:paraId="6B2ECC3D"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41621A20" w14:textId="77777777" w:rsidR="00C929F1" w:rsidRPr="00351F89" w:rsidRDefault="00C929F1" w:rsidP="00C929F1">
            <w:pPr>
              <w:spacing w:before="0" w:after="0" w:line="240" w:lineRule="auto"/>
              <w:jc w:val="left"/>
              <w:rPr>
                <w:rFonts w:asciiTheme="majorHAnsi" w:hAnsiTheme="majorHAnsi" w:cstheme="majorHAnsi"/>
                <w:i/>
                <w:sz w:val="18"/>
                <w:szCs w:val="18"/>
              </w:rPr>
            </w:pPr>
          </w:p>
        </w:tc>
        <w:tc>
          <w:tcPr>
            <w:tcW w:w="2484" w:type="dxa"/>
            <w:vMerge/>
            <w:shd w:val="clear" w:color="auto" w:fill="auto"/>
            <w:vAlign w:val="center"/>
          </w:tcPr>
          <w:p w14:paraId="6B911630" w14:textId="77777777" w:rsidR="00C929F1" w:rsidRPr="00281649" w:rsidRDefault="00C929F1" w:rsidP="00C929F1">
            <w:pPr>
              <w:spacing w:before="0" w:after="0" w:line="240" w:lineRule="auto"/>
              <w:ind w:left="34"/>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rPr>
            </w:pPr>
          </w:p>
        </w:tc>
        <w:tc>
          <w:tcPr>
            <w:tcW w:w="4678" w:type="dxa"/>
            <w:shd w:val="clear" w:color="auto" w:fill="auto"/>
            <w:vAlign w:val="center"/>
          </w:tcPr>
          <w:p w14:paraId="380D241A" w14:textId="77777777" w:rsidR="00C929F1" w:rsidRPr="00281649" w:rsidRDefault="00C929F1" w:rsidP="00C929F1">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281649">
              <w:rPr>
                <w:rFonts w:asciiTheme="majorHAnsi" w:eastAsia="Times New Roman" w:hAnsiTheme="majorHAnsi" w:cstheme="majorHAnsi"/>
                <w:color w:val="000000"/>
                <w:spacing w:val="0"/>
                <w:sz w:val="18"/>
                <w:szCs w:val="18"/>
                <w:lang w:eastAsia="cs-CZ" w:bidi="ar-SA"/>
              </w:rPr>
              <w:t xml:space="preserve">E.3.3: Zvýšení dostupnosti infrastruktury </w:t>
            </w:r>
          </w:p>
        </w:tc>
      </w:tr>
      <w:tr w:rsidR="00C929F1" w:rsidRPr="00476621" w14:paraId="5E4DF10A" w14:textId="77777777" w:rsidTr="00605061">
        <w:trPr>
          <w:trHeight w:val="628"/>
        </w:trPr>
        <w:tc>
          <w:tcPr>
            <w:cnfStyle w:val="001000000000" w:firstRow="0" w:lastRow="0" w:firstColumn="1" w:lastColumn="0" w:oddVBand="0" w:evenVBand="0" w:oddHBand="0" w:evenHBand="0" w:firstRowFirstColumn="0" w:firstRowLastColumn="0" w:lastRowFirstColumn="0" w:lastRowLastColumn="0"/>
            <w:tcW w:w="2052" w:type="dxa"/>
            <w:vMerge w:val="restart"/>
            <w:shd w:val="clear" w:color="auto" w:fill="auto"/>
            <w:vAlign w:val="center"/>
          </w:tcPr>
          <w:p w14:paraId="7D5E3558" w14:textId="77777777" w:rsidR="00C929F1" w:rsidRPr="00351F89" w:rsidRDefault="00C929F1" w:rsidP="00C929F1">
            <w:pPr>
              <w:spacing w:before="0" w:after="0" w:line="240" w:lineRule="auto"/>
              <w:jc w:val="left"/>
              <w:rPr>
                <w:rFonts w:asciiTheme="majorHAnsi" w:hAnsiTheme="majorHAnsi" w:cstheme="majorHAnsi"/>
                <w:i/>
                <w:sz w:val="18"/>
                <w:szCs w:val="18"/>
              </w:rPr>
            </w:pPr>
            <w:r w:rsidRPr="00351F89">
              <w:rPr>
                <w:rFonts w:asciiTheme="majorHAnsi" w:eastAsia="Times New Roman" w:hAnsiTheme="majorHAnsi" w:cstheme="majorHAnsi"/>
                <w:bCs w:val="0"/>
                <w:i/>
                <w:color w:val="000000"/>
                <w:spacing w:val="0"/>
                <w:sz w:val="18"/>
                <w:szCs w:val="18"/>
                <w:lang w:eastAsia="cs-CZ" w:bidi="ar-SA"/>
              </w:rPr>
              <w:t>F: Posílení a lepší využití sociálního kapitálu a kreativity při řešení komplexních společenských výzev</w:t>
            </w:r>
          </w:p>
        </w:tc>
        <w:tc>
          <w:tcPr>
            <w:tcW w:w="7162" w:type="dxa"/>
            <w:gridSpan w:val="2"/>
            <w:shd w:val="clear" w:color="auto" w:fill="auto"/>
            <w:vAlign w:val="center"/>
          </w:tcPr>
          <w:p w14:paraId="22317478" w14:textId="77777777" w:rsidR="00C929F1" w:rsidRPr="00281649" w:rsidRDefault="00C929F1" w:rsidP="00C929F1">
            <w:pPr>
              <w:spacing w:before="0" w:after="0" w:line="240" w:lineRule="auto"/>
              <w:ind w:left="34"/>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0"/>
              </w:rPr>
            </w:pPr>
            <w:r w:rsidRPr="00281649">
              <w:rPr>
                <w:rFonts w:asciiTheme="majorHAnsi" w:hAnsiTheme="majorHAnsi" w:cstheme="majorHAnsi"/>
                <w:i/>
                <w:sz w:val="20"/>
              </w:rPr>
              <w:t>F. 1 (F.1.1): Podpořit otevřenou partnerskou spolupráci při experimentálním řešení společenských výzev a systémově využít úspěšně ověřené modely</w:t>
            </w:r>
          </w:p>
        </w:tc>
      </w:tr>
      <w:tr w:rsidR="00C929F1" w:rsidRPr="00476621" w14:paraId="71ABBC21" w14:textId="77777777" w:rsidTr="00605061">
        <w:trPr>
          <w:cnfStyle w:val="000000100000" w:firstRow="0" w:lastRow="0" w:firstColumn="0" w:lastColumn="0" w:oddVBand="0" w:evenVBand="0" w:oddHBand="1" w:evenHBand="0" w:firstRowFirstColumn="0" w:firstRowLastColumn="0" w:lastRowFirstColumn="0" w:lastRowLastColumn="0"/>
          <w:trHeight w:val="596"/>
        </w:trPr>
        <w:tc>
          <w:tcPr>
            <w:cnfStyle w:val="001000000000" w:firstRow="0" w:lastRow="0" w:firstColumn="1" w:lastColumn="0" w:oddVBand="0" w:evenVBand="0" w:oddHBand="0" w:evenHBand="0" w:firstRowFirstColumn="0" w:firstRowLastColumn="0" w:lastRowFirstColumn="0" w:lastRowLastColumn="0"/>
            <w:tcW w:w="2052" w:type="dxa"/>
            <w:vMerge/>
            <w:shd w:val="clear" w:color="auto" w:fill="auto"/>
            <w:vAlign w:val="center"/>
          </w:tcPr>
          <w:p w14:paraId="6F24F77A" w14:textId="77777777" w:rsidR="00C929F1" w:rsidRPr="00281649" w:rsidRDefault="00C929F1" w:rsidP="00C929F1">
            <w:pPr>
              <w:spacing w:before="0" w:after="0" w:line="240" w:lineRule="auto"/>
              <w:jc w:val="left"/>
              <w:rPr>
                <w:rFonts w:asciiTheme="majorHAnsi" w:hAnsiTheme="majorHAnsi" w:cstheme="majorHAnsi"/>
                <w:b w:val="0"/>
                <w:sz w:val="20"/>
              </w:rPr>
            </w:pPr>
          </w:p>
        </w:tc>
        <w:tc>
          <w:tcPr>
            <w:tcW w:w="7162" w:type="dxa"/>
            <w:gridSpan w:val="2"/>
            <w:shd w:val="clear" w:color="auto" w:fill="auto"/>
            <w:vAlign w:val="center"/>
          </w:tcPr>
          <w:p w14:paraId="78370445" w14:textId="77777777" w:rsidR="00C929F1" w:rsidRPr="00281649" w:rsidRDefault="00C929F1" w:rsidP="00C929F1">
            <w:pPr>
              <w:spacing w:before="0" w:after="0" w:line="240" w:lineRule="auto"/>
              <w:ind w:left="34"/>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0"/>
              </w:rPr>
            </w:pPr>
            <w:r w:rsidRPr="00281649">
              <w:rPr>
                <w:rFonts w:asciiTheme="majorHAnsi" w:hAnsiTheme="majorHAnsi" w:cstheme="majorHAnsi"/>
                <w:i/>
                <w:sz w:val="20"/>
              </w:rPr>
              <w:t>F. 2 (F.2.1): Podpořit a lépe využít spolupráci místních aktérů při řešení potřeb v oblasti zaměstnanosti, ekonomického rozvoje a sociální inkluze v krajích ČR</w:t>
            </w:r>
          </w:p>
        </w:tc>
      </w:tr>
    </w:tbl>
    <w:p w14:paraId="645D41EF" w14:textId="77777777" w:rsidR="00C929F1" w:rsidRPr="00635BE8" w:rsidRDefault="00C929F1" w:rsidP="00C929F1">
      <w:pPr>
        <w:spacing w:before="0" w:after="0" w:line="240" w:lineRule="auto"/>
        <w:rPr>
          <w:sz w:val="18"/>
          <w:szCs w:val="18"/>
        </w:rPr>
      </w:pPr>
      <w:r w:rsidRPr="00635BE8">
        <w:rPr>
          <w:sz w:val="18"/>
          <w:szCs w:val="18"/>
        </w:rPr>
        <w:t xml:space="preserve">Zdroj: </w:t>
      </w:r>
      <w:r>
        <w:rPr>
          <w:sz w:val="18"/>
          <w:szCs w:val="18"/>
        </w:rPr>
        <w:t xml:space="preserve">Národní RIS3 strategie, 2014; </w:t>
      </w:r>
      <w:r w:rsidRPr="00635BE8">
        <w:rPr>
          <w:sz w:val="18"/>
          <w:szCs w:val="18"/>
        </w:rPr>
        <w:t>vlastní zpracování</w:t>
      </w:r>
    </w:p>
    <w:p w14:paraId="68B76914" w14:textId="77777777" w:rsidR="00CE6DA1" w:rsidRDefault="00CE6DA1" w:rsidP="00CE6DA1">
      <w:pPr>
        <w:rPr>
          <w:lang w:bidi="ar-SA"/>
        </w:rPr>
      </w:pPr>
    </w:p>
    <w:p w14:paraId="5F471CC0" w14:textId="77777777" w:rsidR="00CE6DA1" w:rsidRDefault="00CE6DA1" w:rsidP="00CE6DA1">
      <w:pPr>
        <w:rPr>
          <w:lang w:bidi="ar-SA"/>
        </w:rPr>
      </w:pPr>
      <w:r>
        <w:rPr>
          <w:lang w:bidi="ar-SA"/>
        </w:rPr>
        <w:t xml:space="preserve">Již samotná dikce vize ČESKO PODNIKAVÉ, KREATIVNÍ A PŘITAŽLIVÉ PRO TALENTY předurčuje, že její naplnění je podmíněno </w:t>
      </w:r>
      <w:r w:rsidRPr="00EF2896">
        <w:rPr>
          <w:b/>
          <w:lang w:bidi="ar-SA"/>
        </w:rPr>
        <w:t>rozsáhlými změnami</w:t>
      </w:r>
      <w:r>
        <w:rPr>
          <w:lang w:bidi="ar-SA"/>
        </w:rPr>
        <w:t xml:space="preserve"> jak legislativního tak sociálně-ekonomického charakteru. Jak je zřejmé ze schématu struktury cílů, je tomu přizpůsobena návrhová část strategie, která definuje takový rozsah horizontální cílů, který má potenciál (při jejich splnění) pokrýt vizi v celém svém rozsahu. </w:t>
      </w:r>
    </w:p>
    <w:p w14:paraId="4626CE96" w14:textId="77777777" w:rsidR="005C2A71" w:rsidRDefault="00CE6DA1" w:rsidP="000D6A90">
      <w:pPr>
        <w:rPr>
          <w:lang w:bidi="ar-SA"/>
        </w:rPr>
      </w:pPr>
      <w:r>
        <w:rPr>
          <w:lang w:bidi="ar-SA"/>
        </w:rPr>
        <w:t xml:space="preserve">Návrhová část v horizontální rovině </w:t>
      </w:r>
      <w:r w:rsidR="00232481">
        <w:rPr>
          <w:lang w:bidi="ar-SA"/>
        </w:rPr>
        <w:t xml:space="preserve">je </w:t>
      </w:r>
      <w:r w:rsidRPr="00EF2896">
        <w:rPr>
          <w:b/>
          <w:lang w:bidi="ar-SA"/>
        </w:rPr>
        <w:t xml:space="preserve">rozsáhlá a do značné míry </w:t>
      </w:r>
      <w:r w:rsidR="00232481" w:rsidRPr="00EF2896">
        <w:rPr>
          <w:b/>
          <w:lang w:bidi="ar-SA"/>
        </w:rPr>
        <w:t>komplexní</w:t>
      </w:r>
      <w:r w:rsidR="00A944E0">
        <w:rPr>
          <w:lang w:bidi="ar-SA"/>
        </w:rPr>
        <w:t xml:space="preserve">. V šesti klíčových oblastech změn můžeme identifikovat </w:t>
      </w:r>
      <w:r w:rsidR="00655A1F">
        <w:rPr>
          <w:lang w:bidi="ar-SA"/>
        </w:rPr>
        <w:t xml:space="preserve">13 strategických cílů a 32 specifických cílů. </w:t>
      </w:r>
      <w:r w:rsidR="00F632C0">
        <w:rPr>
          <w:lang w:bidi="ar-SA"/>
        </w:rPr>
        <w:t xml:space="preserve">Jednotlivé cíle se </w:t>
      </w:r>
      <w:r w:rsidR="00232481">
        <w:rPr>
          <w:lang w:bidi="ar-SA"/>
        </w:rPr>
        <w:t xml:space="preserve">však </w:t>
      </w:r>
      <w:r w:rsidR="00F632C0">
        <w:rPr>
          <w:lang w:bidi="ar-SA"/>
        </w:rPr>
        <w:t xml:space="preserve">vyznačují </w:t>
      </w:r>
      <w:r w:rsidR="00BD1ADD">
        <w:rPr>
          <w:b/>
          <w:lang w:bidi="ar-SA"/>
        </w:rPr>
        <w:t>určitou</w:t>
      </w:r>
      <w:r w:rsidR="00BD1ADD" w:rsidRPr="00EF2896">
        <w:rPr>
          <w:b/>
          <w:lang w:bidi="ar-SA"/>
        </w:rPr>
        <w:t xml:space="preserve"> </w:t>
      </w:r>
      <w:r w:rsidR="00F632C0" w:rsidRPr="00EF2896">
        <w:rPr>
          <w:b/>
          <w:lang w:bidi="ar-SA"/>
        </w:rPr>
        <w:t>mírou obecnosti</w:t>
      </w:r>
      <w:r w:rsidR="00F632C0">
        <w:rPr>
          <w:lang w:bidi="ar-SA"/>
        </w:rPr>
        <w:t xml:space="preserve"> </w:t>
      </w:r>
      <w:r w:rsidR="00BD1ADD">
        <w:rPr>
          <w:lang w:bidi="ar-SA"/>
        </w:rPr>
        <w:t>s omezenou</w:t>
      </w:r>
      <w:r w:rsidR="00F632C0">
        <w:rPr>
          <w:lang w:bidi="ar-SA"/>
        </w:rPr>
        <w:t xml:space="preserve"> </w:t>
      </w:r>
      <w:r w:rsidR="00F632C0" w:rsidRPr="00EF2896">
        <w:rPr>
          <w:b/>
          <w:lang w:bidi="ar-SA"/>
        </w:rPr>
        <w:t>kvantifikac</w:t>
      </w:r>
      <w:r w:rsidR="00BD1ADD">
        <w:rPr>
          <w:b/>
          <w:lang w:bidi="ar-SA"/>
        </w:rPr>
        <w:t>í</w:t>
      </w:r>
      <w:r w:rsidR="00F632C0" w:rsidRPr="00EF2896">
        <w:rPr>
          <w:b/>
          <w:lang w:bidi="ar-SA"/>
        </w:rPr>
        <w:t xml:space="preserve"> výsledků</w:t>
      </w:r>
      <w:r w:rsidR="00F632C0">
        <w:rPr>
          <w:lang w:bidi="ar-SA"/>
        </w:rPr>
        <w:t xml:space="preserve"> (exaktního vyjádření, čeho se má dosáhnout). </w:t>
      </w:r>
      <w:r>
        <w:rPr>
          <w:lang w:bidi="ar-SA"/>
        </w:rPr>
        <w:t xml:space="preserve">Na druhou stranu lze konstatovat, že </w:t>
      </w:r>
      <w:r w:rsidR="00AC040F">
        <w:rPr>
          <w:lang w:bidi="ar-SA"/>
        </w:rPr>
        <w:t>mnohé z těchto</w:t>
      </w:r>
      <w:r>
        <w:rPr>
          <w:lang w:bidi="ar-SA"/>
        </w:rPr>
        <w:t xml:space="preserve"> horizontální</w:t>
      </w:r>
      <w:r w:rsidR="00AC040F">
        <w:rPr>
          <w:lang w:bidi="ar-SA"/>
        </w:rPr>
        <w:t>ch</w:t>
      </w:r>
      <w:r>
        <w:rPr>
          <w:lang w:bidi="ar-SA"/>
        </w:rPr>
        <w:t xml:space="preserve"> cíl</w:t>
      </w:r>
      <w:r w:rsidR="00AC040F">
        <w:rPr>
          <w:lang w:bidi="ar-SA"/>
        </w:rPr>
        <w:t xml:space="preserve">ů mají průřezový charakter a cílí na vytvoření podmínek a institucionálního rámce pro efektivní inovační prostředí v ČR. </w:t>
      </w:r>
      <w:r w:rsidR="005C2A71">
        <w:rPr>
          <w:lang w:bidi="ar-SA"/>
        </w:rPr>
        <w:t xml:space="preserve">  </w:t>
      </w:r>
    </w:p>
    <w:p w14:paraId="59D02C5A" w14:textId="77777777" w:rsidR="00D2770D" w:rsidRDefault="00192B2E" w:rsidP="00192B2E">
      <w:pPr>
        <w:rPr>
          <w:lang w:bidi="ar-SA"/>
        </w:rPr>
      </w:pPr>
      <w:r w:rsidRPr="00192B2E">
        <w:rPr>
          <w:lang w:bidi="ar-SA"/>
        </w:rPr>
        <w:t>Pro hodnocení míry naplňování</w:t>
      </w:r>
      <w:r>
        <w:rPr>
          <w:lang w:bidi="ar-SA"/>
        </w:rPr>
        <w:t xml:space="preserve"> klíčových oblastí změn, strategických a specifických cílů byla </w:t>
      </w:r>
      <w:r w:rsidR="00D2770D">
        <w:rPr>
          <w:lang w:bidi="ar-SA"/>
        </w:rPr>
        <w:t>definována</w:t>
      </w:r>
      <w:r>
        <w:rPr>
          <w:lang w:bidi="ar-SA"/>
        </w:rPr>
        <w:t xml:space="preserve"> rozsáhlá indikátorová soustava</w:t>
      </w:r>
      <w:r w:rsidR="00597AC2">
        <w:rPr>
          <w:lang w:bidi="ar-SA"/>
        </w:rPr>
        <w:t>. Vzhledem k tomu, že cíle nebyly kvantifikovány, resp. nebyl</w:t>
      </w:r>
      <w:r w:rsidR="00CA5179">
        <w:rPr>
          <w:lang w:bidi="ar-SA"/>
        </w:rPr>
        <w:t>a</w:t>
      </w:r>
      <w:r w:rsidR="00597AC2">
        <w:rPr>
          <w:lang w:bidi="ar-SA"/>
        </w:rPr>
        <w:t xml:space="preserve"> stanovena jejich výchozí hodnota a hodnota/měřitelný stav, kterého má </w:t>
      </w:r>
      <w:r w:rsidR="00CA5179">
        <w:rPr>
          <w:lang w:bidi="ar-SA"/>
        </w:rPr>
        <w:t>dosaženo, je obtížné hodnotit dosažený pokrok</w:t>
      </w:r>
      <w:r w:rsidR="00D2770D">
        <w:rPr>
          <w:lang w:bidi="ar-SA"/>
        </w:rPr>
        <w:t xml:space="preserve"> (blíže kapitola </w:t>
      </w:r>
      <w:r w:rsidR="00D2770D" w:rsidRPr="00EF2896">
        <w:rPr>
          <w:lang w:bidi="ar-SA"/>
        </w:rPr>
        <w:t>4.</w:t>
      </w:r>
      <w:r w:rsidR="00EF2896" w:rsidRPr="00EF2896">
        <w:rPr>
          <w:lang w:bidi="ar-SA"/>
        </w:rPr>
        <w:t>2</w:t>
      </w:r>
      <w:r w:rsidR="00D2770D">
        <w:rPr>
          <w:lang w:bidi="ar-SA"/>
        </w:rPr>
        <w:t>)</w:t>
      </w:r>
      <w:r>
        <w:rPr>
          <w:lang w:bidi="ar-SA"/>
        </w:rPr>
        <w:t xml:space="preserve">. </w:t>
      </w:r>
    </w:p>
    <w:p w14:paraId="22426D10" w14:textId="77777777" w:rsidR="00192B2E" w:rsidRDefault="00CA5179" w:rsidP="00192B2E">
      <w:pPr>
        <w:rPr>
          <w:lang w:bidi="ar-SA"/>
        </w:rPr>
      </w:pPr>
      <w:r>
        <w:rPr>
          <w:lang w:bidi="ar-SA"/>
        </w:rPr>
        <w:t>Odlišná situace panuje u vize. Národní RIS3 strategie identifikuje ukazatele pro měření vize a jejich dílčích aspektů</w:t>
      </w:r>
      <w:r w:rsidR="00A15D19">
        <w:rPr>
          <w:lang w:bidi="ar-SA"/>
        </w:rPr>
        <w:t xml:space="preserve"> a stanovuje výchozí hodnoty těchto indikátorů</w:t>
      </w:r>
      <w:r w:rsidR="00A15D19">
        <w:rPr>
          <w:rStyle w:val="Znakapoznpodarou"/>
          <w:lang w:bidi="ar-SA"/>
        </w:rPr>
        <w:footnoteReference w:id="23"/>
      </w:r>
      <w:r w:rsidR="00A15D19">
        <w:rPr>
          <w:lang w:bidi="ar-SA"/>
        </w:rPr>
        <w:t xml:space="preserve">. </w:t>
      </w:r>
      <w:r w:rsidR="00192B2E">
        <w:rPr>
          <w:lang w:bidi="ar-SA"/>
        </w:rPr>
        <w:t>Indikátory stanovené pro hodnocení vize mají převážně kontextový charakter</w:t>
      </w:r>
      <w:r w:rsidR="00A15D19">
        <w:rPr>
          <w:lang w:bidi="ar-SA"/>
        </w:rPr>
        <w:t xml:space="preserve"> a ve vztahu k úspěšnému naplňování vize je ve většině případů stanoven pozitivní trend vývoje</w:t>
      </w:r>
      <w:r w:rsidR="008F35F7">
        <w:rPr>
          <w:lang w:bidi="ar-SA"/>
        </w:rPr>
        <w:t xml:space="preserve">. </w:t>
      </w:r>
      <w:r w:rsidR="00192B2E">
        <w:rPr>
          <w:lang w:bidi="ar-SA"/>
        </w:rPr>
        <w:t xml:space="preserve"> </w:t>
      </w:r>
      <w:r w:rsidR="008F35F7">
        <w:rPr>
          <w:lang w:bidi="ar-SA"/>
        </w:rPr>
        <w:t>Jak vyplývá z níže uvedené tabulky,</w:t>
      </w:r>
      <w:r w:rsidR="009A504C">
        <w:rPr>
          <w:lang w:bidi="ar-SA"/>
        </w:rPr>
        <w:t xml:space="preserve"> převážná část indikátorů </w:t>
      </w:r>
      <w:r w:rsidR="00A15D19">
        <w:rPr>
          <w:lang w:bidi="ar-SA"/>
        </w:rPr>
        <w:t xml:space="preserve">tento </w:t>
      </w:r>
      <w:r w:rsidR="009A504C">
        <w:rPr>
          <w:lang w:bidi="ar-SA"/>
        </w:rPr>
        <w:t>pozitivní trend</w:t>
      </w:r>
      <w:r w:rsidR="00A15D19" w:rsidRPr="00A15D19">
        <w:rPr>
          <w:lang w:bidi="ar-SA"/>
        </w:rPr>
        <w:t xml:space="preserve"> </w:t>
      </w:r>
      <w:r w:rsidR="00A15D19">
        <w:rPr>
          <w:lang w:bidi="ar-SA"/>
        </w:rPr>
        <w:t>vykazuje</w:t>
      </w:r>
      <w:r w:rsidR="009A504C">
        <w:rPr>
          <w:lang w:bidi="ar-SA"/>
        </w:rPr>
        <w:t>.</w:t>
      </w:r>
    </w:p>
    <w:p w14:paraId="695EB5A8" w14:textId="77777777" w:rsidR="007A2053" w:rsidRDefault="007A2053" w:rsidP="00505E60">
      <w:pPr>
        <w:rPr>
          <w:rFonts w:cs="Arial-ItalicMT"/>
          <w:b/>
          <w:iCs/>
          <w:szCs w:val="22"/>
        </w:rPr>
      </w:pPr>
    </w:p>
    <w:p w14:paraId="716BECBB" w14:textId="77777777" w:rsidR="007A2053" w:rsidRDefault="007A2053" w:rsidP="00505E60">
      <w:pPr>
        <w:rPr>
          <w:rFonts w:cs="Arial-ItalicMT"/>
          <w:b/>
          <w:iCs/>
          <w:szCs w:val="22"/>
        </w:rPr>
      </w:pPr>
    </w:p>
    <w:p w14:paraId="5FB8A051" w14:textId="77777777" w:rsidR="00505E60" w:rsidRPr="00505E60" w:rsidRDefault="00505E60" w:rsidP="00505E60">
      <w:bookmarkStart w:id="42" w:name="_Toc5626517"/>
      <w:r w:rsidRPr="00C64D59">
        <w:rPr>
          <w:rFonts w:cs="Arial-ItalicMT"/>
          <w:b/>
          <w:iCs/>
          <w:szCs w:val="22"/>
        </w:rPr>
        <w:lastRenderedPageBreak/>
        <w:t xml:space="preserve">Tabulka č. </w:t>
      </w:r>
      <w:r w:rsidR="008A090D" w:rsidRPr="00C64D59">
        <w:rPr>
          <w:rFonts w:cs="Arial-ItalicMT"/>
          <w:b/>
          <w:iCs/>
          <w:szCs w:val="22"/>
        </w:rPr>
        <w:fldChar w:fldCharType="begin"/>
      </w:r>
      <w:r w:rsidRPr="00C64D59">
        <w:rPr>
          <w:rFonts w:cs="Arial-ItalicMT"/>
          <w:b/>
          <w:iCs/>
          <w:szCs w:val="22"/>
        </w:rPr>
        <w:instrText xml:space="preserve"> SEQ Tabulka_č._ \* ARABIC </w:instrText>
      </w:r>
      <w:r w:rsidR="008A090D" w:rsidRPr="00C64D59">
        <w:rPr>
          <w:rFonts w:cs="Arial-ItalicMT"/>
          <w:b/>
          <w:iCs/>
          <w:szCs w:val="22"/>
        </w:rPr>
        <w:fldChar w:fldCharType="separate"/>
      </w:r>
      <w:r w:rsidR="002309D5">
        <w:rPr>
          <w:rFonts w:cs="Arial-ItalicMT"/>
          <w:b/>
          <w:iCs/>
          <w:noProof/>
          <w:szCs w:val="22"/>
        </w:rPr>
        <w:t>8</w:t>
      </w:r>
      <w:r w:rsidR="008A090D" w:rsidRPr="00C64D59">
        <w:rPr>
          <w:rFonts w:cs="Arial-ItalicMT"/>
          <w:b/>
          <w:iCs/>
          <w:szCs w:val="22"/>
        </w:rPr>
        <w:fldChar w:fldCharType="end"/>
      </w:r>
      <w:r w:rsidRPr="00C64D59">
        <w:rPr>
          <w:rFonts w:cs="Arial-ItalicMT"/>
          <w:b/>
          <w:iCs/>
          <w:szCs w:val="22"/>
        </w:rPr>
        <w:t xml:space="preserve"> -</w:t>
      </w:r>
      <w:r w:rsidRPr="00D66402">
        <w:rPr>
          <w:rFonts w:cs="Arial-ItalicMT"/>
          <w:iCs/>
          <w:szCs w:val="22"/>
        </w:rPr>
        <w:t xml:space="preserve"> </w:t>
      </w:r>
      <w:r w:rsidRPr="00505E60">
        <w:rPr>
          <w:i/>
        </w:rPr>
        <w:t>Měření vize – výchozí a průběžné hodnoty</w:t>
      </w:r>
      <w:bookmarkEnd w:id="42"/>
    </w:p>
    <w:tbl>
      <w:tblPr>
        <w:tblStyle w:val="Svtlseznamzvraznn12"/>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1488"/>
        <w:gridCol w:w="1489"/>
      </w:tblGrid>
      <w:tr w:rsidR="002D09CA" w:rsidRPr="002D09CA" w14:paraId="289EF8D4" w14:textId="77777777" w:rsidTr="006050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vAlign w:val="center"/>
          </w:tcPr>
          <w:p w14:paraId="48EB3E75" w14:textId="77777777" w:rsidR="002D09CA" w:rsidRPr="002D09CA" w:rsidRDefault="002D09CA" w:rsidP="002D09CA">
            <w:pPr>
              <w:spacing w:before="120" w:after="120" w:line="240" w:lineRule="auto"/>
              <w:jc w:val="left"/>
              <w:rPr>
                <w:rFonts w:cs="Calibri"/>
              </w:rPr>
            </w:pPr>
            <w:r w:rsidRPr="002D09CA">
              <w:rPr>
                <w:rFonts w:cs="Calibri"/>
              </w:rPr>
              <w:t>Ukazatel</w:t>
            </w:r>
          </w:p>
        </w:tc>
        <w:tc>
          <w:tcPr>
            <w:tcW w:w="2977" w:type="dxa"/>
            <w:gridSpan w:val="2"/>
          </w:tcPr>
          <w:p w14:paraId="03C7F216" w14:textId="77777777" w:rsidR="002D09CA" w:rsidRPr="002D09CA" w:rsidRDefault="00EF2896" w:rsidP="002D09CA">
            <w:pPr>
              <w:spacing w:before="120" w:after="120" w:line="240" w:lineRule="auto"/>
              <w:ind w:left="34"/>
              <w:jc w:val="center"/>
              <w:cnfStyle w:val="100000000000" w:firstRow="1" w:lastRow="0" w:firstColumn="0" w:lastColumn="0" w:oddVBand="0" w:evenVBand="0" w:oddHBand="0" w:evenHBand="0" w:firstRowFirstColumn="0" w:firstRowLastColumn="0" w:lastRowFirstColumn="0" w:lastRowLastColumn="0"/>
              <w:rPr>
                <w:rFonts w:cs="Calibri"/>
              </w:rPr>
            </w:pPr>
            <w:r>
              <w:rPr>
                <w:rFonts w:cs="Calibri"/>
              </w:rPr>
              <w:t>Rok/</w:t>
            </w:r>
            <w:r w:rsidR="002D09CA" w:rsidRPr="002D09CA">
              <w:rPr>
                <w:rFonts w:cs="Calibri"/>
              </w:rPr>
              <w:t>Hodnota</w:t>
            </w:r>
          </w:p>
        </w:tc>
      </w:tr>
      <w:tr w:rsidR="002D09CA" w:rsidRPr="002D09CA" w14:paraId="33D2680E"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vMerge w:val="restart"/>
            <w:shd w:val="clear" w:color="auto" w:fill="DBEEF3"/>
            <w:vAlign w:val="center"/>
          </w:tcPr>
          <w:p w14:paraId="75BCB7C0" w14:textId="77777777" w:rsidR="002D09CA" w:rsidRPr="002D09CA" w:rsidRDefault="002D09CA" w:rsidP="002D09CA">
            <w:pPr>
              <w:spacing w:before="0" w:after="0" w:line="240" w:lineRule="auto"/>
              <w:jc w:val="left"/>
              <w:rPr>
                <w:rFonts w:cs="Calibri"/>
                <w:b w:val="0"/>
                <w:sz w:val="20"/>
              </w:rPr>
            </w:pPr>
            <w:r w:rsidRPr="002D09CA">
              <w:rPr>
                <w:rFonts w:eastAsia="Times New Roman" w:cs="Calibri"/>
                <w:sz w:val="20"/>
                <w:lang w:eastAsia="cs-CZ"/>
              </w:rPr>
              <w:t>Počet nově vzniklých firem na 1 000 obyvatel</w:t>
            </w:r>
          </w:p>
        </w:tc>
        <w:tc>
          <w:tcPr>
            <w:tcW w:w="1488" w:type="dxa"/>
            <w:shd w:val="clear" w:color="auto" w:fill="DBEEF3"/>
          </w:tcPr>
          <w:p w14:paraId="63E23FAD" w14:textId="77777777" w:rsidR="002D09CA" w:rsidRPr="002D09CA" w:rsidRDefault="002D09CA" w:rsidP="002D09CA">
            <w:pPr>
              <w:spacing w:before="0" w:after="0" w:line="240" w:lineRule="auto"/>
              <w:ind w:left="34"/>
              <w:jc w:val="center"/>
              <w:cnfStyle w:val="000000100000" w:firstRow="0" w:lastRow="0" w:firstColumn="0" w:lastColumn="0" w:oddVBand="0" w:evenVBand="0" w:oddHBand="1" w:evenHBand="0" w:firstRowFirstColumn="0" w:firstRowLastColumn="0" w:lastRowFirstColumn="0" w:lastRowLastColumn="0"/>
              <w:rPr>
                <w:rFonts w:cs="Calibri"/>
                <w:sz w:val="20"/>
              </w:rPr>
            </w:pPr>
            <w:r w:rsidRPr="002D09CA">
              <w:rPr>
                <w:rFonts w:eastAsia="Times New Roman" w:cs="Calibri"/>
                <w:sz w:val="20"/>
                <w:lang w:eastAsia="cs-CZ"/>
              </w:rPr>
              <w:t>2013</w:t>
            </w:r>
          </w:p>
        </w:tc>
        <w:tc>
          <w:tcPr>
            <w:tcW w:w="1489" w:type="dxa"/>
            <w:shd w:val="clear" w:color="auto" w:fill="DBEEF3"/>
            <w:vAlign w:val="bottom"/>
          </w:tcPr>
          <w:p w14:paraId="79B1C4A8" w14:textId="77777777" w:rsidR="002D09CA" w:rsidRPr="002D09CA" w:rsidRDefault="002D09CA" w:rsidP="002D09CA">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9,45</w:t>
            </w:r>
          </w:p>
        </w:tc>
      </w:tr>
      <w:tr w:rsidR="002D09CA" w:rsidRPr="002D09CA" w14:paraId="5B7A03AA" w14:textId="77777777" w:rsidTr="00605061">
        <w:tc>
          <w:tcPr>
            <w:cnfStyle w:val="001000000000" w:firstRow="0" w:lastRow="0" w:firstColumn="1" w:lastColumn="0" w:oddVBand="0" w:evenVBand="0" w:oddHBand="0" w:evenHBand="0" w:firstRowFirstColumn="0" w:firstRowLastColumn="0" w:lastRowFirstColumn="0" w:lastRowLastColumn="0"/>
            <w:tcW w:w="6237" w:type="dxa"/>
            <w:vMerge/>
            <w:shd w:val="clear" w:color="auto" w:fill="DBEEF3"/>
            <w:vAlign w:val="center"/>
          </w:tcPr>
          <w:p w14:paraId="29EEA0DA" w14:textId="77777777" w:rsidR="002D09CA" w:rsidRPr="002D09CA" w:rsidRDefault="002D09CA" w:rsidP="002D09CA">
            <w:pPr>
              <w:spacing w:before="0" w:after="0" w:line="240" w:lineRule="auto"/>
              <w:jc w:val="left"/>
              <w:rPr>
                <w:rFonts w:cs="Calibri"/>
                <w:b w:val="0"/>
                <w:sz w:val="20"/>
              </w:rPr>
            </w:pPr>
          </w:p>
        </w:tc>
        <w:tc>
          <w:tcPr>
            <w:tcW w:w="1488" w:type="dxa"/>
            <w:shd w:val="clear" w:color="auto" w:fill="DBEEF3"/>
          </w:tcPr>
          <w:p w14:paraId="429D94C6" w14:textId="77777777" w:rsidR="002D09CA" w:rsidRPr="002D09CA" w:rsidRDefault="002D09CA" w:rsidP="002D09CA">
            <w:pPr>
              <w:spacing w:before="0" w:after="0" w:line="240" w:lineRule="auto"/>
              <w:ind w:left="34"/>
              <w:jc w:val="center"/>
              <w:cnfStyle w:val="000000000000" w:firstRow="0" w:lastRow="0" w:firstColumn="0" w:lastColumn="0" w:oddVBand="0" w:evenVBand="0" w:oddHBand="0" w:evenHBand="0" w:firstRowFirstColumn="0" w:firstRowLastColumn="0" w:lastRowFirstColumn="0" w:lastRowLastColumn="0"/>
              <w:rPr>
                <w:rFonts w:cs="Calibri"/>
                <w:sz w:val="20"/>
              </w:rPr>
            </w:pPr>
            <w:r w:rsidRPr="002D09CA">
              <w:rPr>
                <w:rFonts w:eastAsia="Times New Roman" w:cs="Calibri"/>
                <w:sz w:val="20"/>
                <w:lang w:eastAsia="cs-CZ"/>
              </w:rPr>
              <w:t>2017</w:t>
            </w:r>
          </w:p>
        </w:tc>
        <w:tc>
          <w:tcPr>
            <w:tcW w:w="1489" w:type="dxa"/>
            <w:shd w:val="clear" w:color="auto" w:fill="DBEEF3"/>
          </w:tcPr>
          <w:p w14:paraId="32615802" w14:textId="77777777" w:rsidR="002D09CA" w:rsidRPr="002D09CA" w:rsidRDefault="002D09CA" w:rsidP="002D09CA">
            <w:pPr>
              <w:spacing w:before="0" w:after="0" w:line="240" w:lineRule="auto"/>
              <w:ind w:left="34"/>
              <w:jc w:val="center"/>
              <w:cnfStyle w:val="000000000000" w:firstRow="0" w:lastRow="0" w:firstColumn="0" w:lastColumn="0" w:oddVBand="0" w:evenVBand="0" w:oddHBand="0" w:evenHBand="0" w:firstRowFirstColumn="0" w:firstRowLastColumn="0" w:lastRowFirstColumn="0" w:lastRowLastColumn="0"/>
              <w:rPr>
                <w:rFonts w:cs="Calibri"/>
                <w:sz w:val="20"/>
              </w:rPr>
            </w:pPr>
            <w:r w:rsidRPr="002D09CA">
              <w:rPr>
                <w:rFonts w:eastAsia="Times New Roman" w:cs="Calibri"/>
                <w:sz w:val="20"/>
                <w:lang w:eastAsia="cs-CZ"/>
              </w:rPr>
              <w:t>9,60</w:t>
            </w:r>
          </w:p>
        </w:tc>
      </w:tr>
      <w:tr w:rsidR="002D09CA" w:rsidRPr="002D09CA" w14:paraId="586B5459"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vMerge w:val="restart"/>
            <w:shd w:val="clear" w:color="auto" w:fill="B6DDE8"/>
            <w:vAlign w:val="center"/>
          </w:tcPr>
          <w:p w14:paraId="72EB80C6" w14:textId="77777777" w:rsidR="002D09CA" w:rsidRPr="002D09CA" w:rsidRDefault="002D09CA" w:rsidP="002D09CA">
            <w:pPr>
              <w:spacing w:before="0" w:after="0" w:line="240" w:lineRule="auto"/>
              <w:jc w:val="left"/>
              <w:rPr>
                <w:rFonts w:cs="Calibri"/>
                <w:b w:val="0"/>
                <w:sz w:val="20"/>
              </w:rPr>
            </w:pPr>
            <w:r w:rsidRPr="002D09CA">
              <w:rPr>
                <w:rFonts w:eastAsia="Times New Roman" w:cs="Calibri"/>
                <w:sz w:val="20"/>
                <w:lang w:eastAsia="cs-CZ"/>
              </w:rPr>
              <w:t>Podíl podnikajících do 39 let</w:t>
            </w:r>
          </w:p>
        </w:tc>
        <w:tc>
          <w:tcPr>
            <w:tcW w:w="1488" w:type="dxa"/>
            <w:shd w:val="clear" w:color="auto" w:fill="B6DDE8"/>
          </w:tcPr>
          <w:p w14:paraId="4FB81AF9" w14:textId="77777777" w:rsidR="002D09CA" w:rsidRPr="002D09CA" w:rsidRDefault="002D09CA" w:rsidP="002D09CA">
            <w:pPr>
              <w:spacing w:before="0" w:after="0" w:line="240" w:lineRule="auto"/>
              <w:ind w:left="34"/>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2013</w:t>
            </w:r>
          </w:p>
        </w:tc>
        <w:tc>
          <w:tcPr>
            <w:tcW w:w="1489" w:type="dxa"/>
            <w:shd w:val="clear" w:color="auto" w:fill="B6DDE8"/>
          </w:tcPr>
          <w:p w14:paraId="64EFA3C9" w14:textId="77777777" w:rsidR="002D09CA" w:rsidRPr="002D09CA" w:rsidRDefault="002D09CA" w:rsidP="002D09CA">
            <w:pPr>
              <w:spacing w:before="0" w:after="0" w:line="240" w:lineRule="auto"/>
              <w:ind w:left="34"/>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12,5 %</w:t>
            </w:r>
          </w:p>
        </w:tc>
      </w:tr>
      <w:tr w:rsidR="002D09CA" w:rsidRPr="002D09CA" w14:paraId="15919A03" w14:textId="77777777" w:rsidTr="00605061">
        <w:tc>
          <w:tcPr>
            <w:cnfStyle w:val="001000000000" w:firstRow="0" w:lastRow="0" w:firstColumn="1" w:lastColumn="0" w:oddVBand="0" w:evenVBand="0" w:oddHBand="0" w:evenHBand="0" w:firstRowFirstColumn="0" w:firstRowLastColumn="0" w:lastRowFirstColumn="0" w:lastRowLastColumn="0"/>
            <w:tcW w:w="6237" w:type="dxa"/>
            <w:vMerge/>
            <w:shd w:val="clear" w:color="auto" w:fill="B6DDE8"/>
            <w:vAlign w:val="center"/>
          </w:tcPr>
          <w:p w14:paraId="288FBD9D" w14:textId="77777777" w:rsidR="002D09CA" w:rsidRPr="002D09CA" w:rsidRDefault="002D09CA" w:rsidP="002D09CA">
            <w:pPr>
              <w:spacing w:before="0" w:after="0" w:line="240" w:lineRule="auto"/>
              <w:jc w:val="left"/>
              <w:rPr>
                <w:rFonts w:cs="Calibri"/>
                <w:b w:val="0"/>
                <w:sz w:val="20"/>
              </w:rPr>
            </w:pPr>
          </w:p>
        </w:tc>
        <w:tc>
          <w:tcPr>
            <w:tcW w:w="1488" w:type="dxa"/>
            <w:shd w:val="clear" w:color="auto" w:fill="B6DDE8"/>
          </w:tcPr>
          <w:p w14:paraId="2D69FD5D" w14:textId="77777777" w:rsidR="002D09CA" w:rsidRPr="002D09CA" w:rsidRDefault="002D09CA" w:rsidP="002D09CA">
            <w:pPr>
              <w:spacing w:before="0" w:after="0" w:line="240" w:lineRule="auto"/>
              <w:ind w:left="34"/>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2017</w:t>
            </w:r>
          </w:p>
        </w:tc>
        <w:tc>
          <w:tcPr>
            <w:tcW w:w="1489" w:type="dxa"/>
            <w:shd w:val="clear" w:color="auto" w:fill="B6DDE8"/>
          </w:tcPr>
          <w:p w14:paraId="56299DA5" w14:textId="77777777" w:rsidR="002D09CA" w:rsidRPr="002D09CA" w:rsidRDefault="002D09CA" w:rsidP="002D09CA">
            <w:pPr>
              <w:spacing w:before="0" w:after="0" w:line="240" w:lineRule="auto"/>
              <w:ind w:left="34"/>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12,4 %</w:t>
            </w:r>
          </w:p>
        </w:tc>
      </w:tr>
      <w:tr w:rsidR="002D09CA" w:rsidRPr="002D09CA" w14:paraId="1A0AA554"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vMerge w:val="restart"/>
            <w:shd w:val="clear" w:color="auto" w:fill="DBEEF3"/>
            <w:vAlign w:val="center"/>
          </w:tcPr>
          <w:p w14:paraId="0DCE1B1E" w14:textId="77777777" w:rsidR="002D09CA" w:rsidRPr="002D09CA" w:rsidRDefault="002D09CA" w:rsidP="002D09CA">
            <w:pPr>
              <w:spacing w:before="0" w:after="0" w:line="240" w:lineRule="auto"/>
              <w:jc w:val="left"/>
              <w:rPr>
                <w:rFonts w:cs="Calibri"/>
                <w:b w:val="0"/>
                <w:sz w:val="20"/>
              </w:rPr>
            </w:pPr>
            <w:r w:rsidRPr="002D09CA">
              <w:rPr>
                <w:rFonts w:eastAsia="Times New Roman" w:cs="Calibri"/>
                <w:sz w:val="20"/>
                <w:lang w:eastAsia="cs-CZ"/>
              </w:rPr>
              <w:t>Nově vzniklé firmy v % všech aktivních ek. subjektů</w:t>
            </w:r>
          </w:p>
        </w:tc>
        <w:tc>
          <w:tcPr>
            <w:tcW w:w="1488" w:type="dxa"/>
            <w:shd w:val="clear" w:color="auto" w:fill="DBEEF3"/>
          </w:tcPr>
          <w:p w14:paraId="36F2FFF4" w14:textId="77777777" w:rsidR="002D09CA" w:rsidRPr="002D09CA" w:rsidRDefault="002D09CA" w:rsidP="002D09CA">
            <w:pPr>
              <w:spacing w:before="0" w:after="0" w:line="240" w:lineRule="auto"/>
              <w:ind w:left="34"/>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2013</w:t>
            </w:r>
          </w:p>
        </w:tc>
        <w:tc>
          <w:tcPr>
            <w:tcW w:w="1489" w:type="dxa"/>
            <w:shd w:val="clear" w:color="auto" w:fill="DBEEF3"/>
          </w:tcPr>
          <w:p w14:paraId="2351F402" w14:textId="77777777" w:rsidR="002D09CA" w:rsidRPr="002D09CA" w:rsidRDefault="002D09CA" w:rsidP="002D09CA">
            <w:pPr>
              <w:spacing w:before="0" w:after="0" w:line="240" w:lineRule="auto"/>
              <w:ind w:left="34"/>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6,7 %</w:t>
            </w:r>
          </w:p>
        </w:tc>
      </w:tr>
      <w:tr w:rsidR="002D09CA" w:rsidRPr="002D09CA" w14:paraId="0F01E7B0" w14:textId="77777777" w:rsidTr="00605061">
        <w:tc>
          <w:tcPr>
            <w:cnfStyle w:val="001000000000" w:firstRow="0" w:lastRow="0" w:firstColumn="1" w:lastColumn="0" w:oddVBand="0" w:evenVBand="0" w:oddHBand="0" w:evenHBand="0" w:firstRowFirstColumn="0" w:firstRowLastColumn="0" w:lastRowFirstColumn="0" w:lastRowLastColumn="0"/>
            <w:tcW w:w="6237" w:type="dxa"/>
            <w:vMerge/>
            <w:shd w:val="clear" w:color="auto" w:fill="DBEEF3"/>
            <w:vAlign w:val="center"/>
          </w:tcPr>
          <w:p w14:paraId="25754EA0" w14:textId="77777777" w:rsidR="002D09CA" w:rsidRPr="002D09CA" w:rsidRDefault="002D09CA" w:rsidP="002D09CA">
            <w:pPr>
              <w:spacing w:before="0" w:after="0" w:line="240" w:lineRule="auto"/>
              <w:jc w:val="left"/>
              <w:rPr>
                <w:rFonts w:cs="Calibri"/>
                <w:b w:val="0"/>
                <w:sz w:val="20"/>
              </w:rPr>
            </w:pPr>
          </w:p>
        </w:tc>
        <w:tc>
          <w:tcPr>
            <w:tcW w:w="1488" w:type="dxa"/>
            <w:shd w:val="clear" w:color="auto" w:fill="DBEEF3"/>
          </w:tcPr>
          <w:p w14:paraId="20561210" w14:textId="77777777" w:rsidR="002D09CA" w:rsidRPr="002D09CA" w:rsidRDefault="002D09CA" w:rsidP="002D09CA">
            <w:pPr>
              <w:spacing w:before="0" w:after="0" w:line="240" w:lineRule="auto"/>
              <w:ind w:left="34"/>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2017</w:t>
            </w:r>
          </w:p>
        </w:tc>
        <w:tc>
          <w:tcPr>
            <w:tcW w:w="1489" w:type="dxa"/>
            <w:shd w:val="clear" w:color="auto" w:fill="DBEEF3"/>
          </w:tcPr>
          <w:p w14:paraId="20FFC3A9" w14:textId="77777777" w:rsidR="002D09CA" w:rsidRPr="002D09CA" w:rsidRDefault="002D09CA" w:rsidP="002D09CA">
            <w:pPr>
              <w:spacing w:before="0" w:after="0" w:line="240" w:lineRule="auto"/>
              <w:ind w:left="34"/>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6,9 %</w:t>
            </w:r>
          </w:p>
        </w:tc>
      </w:tr>
      <w:tr w:rsidR="002D09CA" w:rsidRPr="002D09CA" w14:paraId="18CD6019"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vMerge w:val="restart"/>
            <w:shd w:val="clear" w:color="auto" w:fill="B6DDE8"/>
            <w:vAlign w:val="center"/>
          </w:tcPr>
          <w:p w14:paraId="572214BE" w14:textId="77777777" w:rsidR="002D09CA" w:rsidRPr="002D09CA" w:rsidRDefault="002D09CA" w:rsidP="002D09CA">
            <w:pPr>
              <w:spacing w:before="0" w:after="0" w:line="240" w:lineRule="auto"/>
              <w:jc w:val="left"/>
              <w:rPr>
                <w:rFonts w:cs="Calibri"/>
                <w:b w:val="0"/>
                <w:sz w:val="20"/>
              </w:rPr>
            </w:pPr>
            <w:r w:rsidRPr="002D09CA">
              <w:rPr>
                <w:rFonts w:eastAsia="Times New Roman" w:cs="Calibri"/>
                <w:sz w:val="20"/>
                <w:lang w:eastAsia="cs-CZ"/>
              </w:rPr>
              <w:t>Počet právnických a fyzických osob</w:t>
            </w:r>
            <w:r w:rsidRPr="002D09CA">
              <w:rPr>
                <w:rFonts w:eastAsia="Times New Roman" w:cs="Calibri"/>
                <w:b w:val="0"/>
                <w:bCs w:val="0"/>
                <w:sz w:val="20"/>
                <w:lang w:eastAsia="cs-CZ"/>
              </w:rPr>
              <w:t xml:space="preserve"> podnikajících v kulturních, kreativních a podobných odvětvích (např. vč. prům. designu)</w:t>
            </w:r>
          </w:p>
        </w:tc>
        <w:tc>
          <w:tcPr>
            <w:tcW w:w="1488" w:type="dxa"/>
            <w:shd w:val="clear" w:color="auto" w:fill="B6DDE8"/>
          </w:tcPr>
          <w:p w14:paraId="518293A4" w14:textId="77777777" w:rsidR="002D09CA" w:rsidRPr="002D09CA" w:rsidRDefault="002D09CA" w:rsidP="002D09CA">
            <w:pPr>
              <w:spacing w:before="0" w:after="0" w:line="240" w:lineRule="auto"/>
              <w:ind w:left="34"/>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2010</w:t>
            </w:r>
          </w:p>
        </w:tc>
        <w:tc>
          <w:tcPr>
            <w:tcW w:w="1489" w:type="dxa"/>
            <w:shd w:val="clear" w:color="auto" w:fill="B6DDE8"/>
          </w:tcPr>
          <w:p w14:paraId="1966D385" w14:textId="77777777" w:rsidR="002D09CA" w:rsidRPr="002D09CA" w:rsidRDefault="002D09CA" w:rsidP="002D09CA">
            <w:pPr>
              <w:spacing w:before="0" w:after="0" w:line="240" w:lineRule="auto"/>
              <w:ind w:left="34"/>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63 260</w:t>
            </w:r>
          </w:p>
        </w:tc>
      </w:tr>
      <w:tr w:rsidR="002D09CA" w:rsidRPr="002D09CA" w14:paraId="0C7C0D30" w14:textId="77777777" w:rsidTr="00605061">
        <w:tc>
          <w:tcPr>
            <w:cnfStyle w:val="001000000000" w:firstRow="0" w:lastRow="0" w:firstColumn="1" w:lastColumn="0" w:oddVBand="0" w:evenVBand="0" w:oddHBand="0" w:evenHBand="0" w:firstRowFirstColumn="0" w:firstRowLastColumn="0" w:lastRowFirstColumn="0" w:lastRowLastColumn="0"/>
            <w:tcW w:w="6237" w:type="dxa"/>
            <w:vMerge/>
            <w:shd w:val="clear" w:color="auto" w:fill="B6DDE8"/>
            <w:vAlign w:val="center"/>
          </w:tcPr>
          <w:p w14:paraId="19EC5D33" w14:textId="77777777" w:rsidR="002D09CA" w:rsidRPr="002D09CA" w:rsidRDefault="002D09CA" w:rsidP="002D09CA">
            <w:pPr>
              <w:spacing w:before="0" w:after="0" w:line="240" w:lineRule="auto"/>
              <w:jc w:val="left"/>
              <w:rPr>
                <w:rFonts w:cs="Calibri"/>
                <w:b w:val="0"/>
                <w:sz w:val="20"/>
              </w:rPr>
            </w:pPr>
          </w:p>
        </w:tc>
        <w:tc>
          <w:tcPr>
            <w:tcW w:w="1488" w:type="dxa"/>
            <w:shd w:val="clear" w:color="auto" w:fill="B6DDE8"/>
          </w:tcPr>
          <w:p w14:paraId="1BC03742" w14:textId="77777777" w:rsidR="002D09CA" w:rsidRPr="002D09CA" w:rsidRDefault="002D09CA" w:rsidP="002D09CA">
            <w:pPr>
              <w:spacing w:before="0" w:after="0" w:line="240" w:lineRule="auto"/>
              <w:ind w:left="34"/>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2016</w:t>
            </w:r>
          </w:p>
        </w:tc>
        <w:tc>
          <w:tcPr>
            <w:tcW w:w="1489" w:type="dxa"/>
            <w:shd w:val="clear" w:color="auto" w:fill="B6DDE8"/>
          </w:tcPr>
          <w:p w14:paraId="3814AEA0" w14:textId="77777777" w:rsidR="002D09CA" w:rsidRPr="002D09CA" w:rsidRDefault="002D09CA" w:rsidP="002D09CA">
            <w:pPr>
              <w:spacing w:before="0" w:after="0" w:line="240" w:lineRule="auto"/>
              <w:ind w:left="34"/>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105 496</w:t>
            </w:r>
          </w:p>
        </w:tc>
      </w:tr>
      <w:tr w:rsidR="002D09CA" w:rsidRPr="002D09CA" w14:paraId="38FEFF4B"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vMerge w:val="restart"/>
            <w:shd w:val="clear" w:color="auto" w:fill="DBEEF3"/>
            <w:vAlign w:val="center"/>
          </w:tcPr>
          <w:p w14:paraId="0E12B4D8" w14:textId="77777777" w:rsidR="002D09CA" w:rsidRPr="002D09CA" w:rsidRDefault="002D09CA" w:rsidP="002D09CA">
            <w:pPr>
              <w:spacing w:before="0" w:after="0" w:line="240" w:lineRule="auto"/>
              <w:jc w:val="left"/>
              <w:rPr>
                <w:rFonts w:cs="Calibri"/>
                <w:b w:val="0"/>
                <w:sz w:val="20"/>
              </w:rPr>
            </w:pPr>
            <w:r w:rsidRPr="002D09CA">
              <w:rPr>
                <w:rFonts w:eastAsia="Times New Roman" w:cs="Calibri"/>
                <w:sz w:val="20"/>
                <w:lang w:eastAsia="cs-CZ"/>
              </w:rPr>
              <w:t>Technologická platební bilance, služby (mil. Kč)</w:t>
            </w:r>
          </w:p>
        </w:tc>
        <w:tc>
          <w:tcPr>
            <w:tcW w:w="1488" w:type="dxa"/>
            <w:shd w:val="clear" w:color="auto" w:fill="DBEEF3"/>
          </w:tcPr>
          <w:p w14:paraId="7EB0841A" w14:textId="77777777" w:rsidR="002D09CA" w:rsidRPr="002D09CA" w:rsidRDefault="002D09CA" w:rsidP="002D09CA">
            <w:pPr>
              <w:spacing w:before="0" w:after="0" w:line="240" w:lineRule="auto"/>
              <w:ind w:left="34"/>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2012</w:t>
            </w:r>
          </w:p>
        </w:tc>
        <w:tc>
          <w:tcPr>
            <w:tcW w:w="1489" w:type="dxa"/>
            <w:shd w:val="clear" w:color="auto" w:fill="DBEEF3"/>
          </w:tcPr>
          <w:p w14:paraId="54C8DE24" w14:textId="77777777" w:rsidR="002D09CA" w:rsidRPr="002D09CA" w:rsidRDefault="002D09CA" w:rsidP="002D09CA">
            <w:pPr>
              <w:spacing w:before="0" w:after="0" w:line="240" w:lineRule="auto"/>
              <w:ind w:left="34"/>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1</w:t>
            </w:r>
            <w:r w:rsidR="00685606">
              <w:rPr>
                <w:rFonts w:eastAsia="Times New Roman" w:cs="Calibri"/>
                <w:sz w:val="20"/>
                <w:lang w:eastAsia="cs-CZ"/>
              </w:rPr>
              <w:t xml:space="preserve"> </w:t>
            </w:r>
            <w:r w:rsidRPr="002D09CA">
              <w:rPr>
                <w:rFonts w:eastAsia="Times New Roman" w:cs="Calibri"/>
                <w:sz w:val="20"/>
                <w:lang w:eastAsia="cs-CZ"/>
              </w:rPr>
              <w:t>339</w:t>
            </w:r>
          </w:p>
        </w:tc>
      </w:tr>
      <w:tr w:rsidR="002D09CA" w:rsidRPr="002D09CA" w14:paraId="6E8FE170" w14:textId="77777777" w:rsidTr="00605061">
        <w:tc>
          <w:tcPr>
            <w:cnfStyle w:val="001000000000" w:firstRow="0" w:lastRow="0" w:firstColumn="1" w:lastColumn="0" w:oddVBand="0" w:evenVBand="0" w:oddHBand="0" w:evenHBand="0" w:firstRowFirstColumn="0" w:firstRowLastColumn="0" w:lastRowFirstColumn="0" w:lastRowLastColumn="0"/>
            <w:tcW w:w="6237" w:type="dxa"/>
            <w:vMerge/>
            <w:shd w:val="clear" w:color="auto" w:fill="DBEEF3"/>
            <w:vAlign w:val="center"/>
          </w:tcPr>
          <w:p w14:paraId="2994AF86" w14:textId="77777777" w:rsidR="002D09CA" w:rsidRPr="002D09CA" w:rsidRDefault="002D09CA" w:rsidP="002D09CA">
            <w:pPr>
              <w:spacing w:before="0" w:after="0" w:line="240" w:lineRule="auto"/>
              <w:jc w:val="left"/>
              <w:rPr>
                <w:rFonts w:cs="Calibri"/>
                <w:b w:val="0"/>
                <w:sz w:val="20"/>
              </w:rPr>
            </w:pPr>
          </w:p>
        </w:tc>
        <w:tc>
          <w:tcPr>
            <w:tcW w:w="1488" w:type="dxa"/>
            <w:shd w:val="clear" w:color="auto" w:fill="DBEEF3"/>
            <w:vAlign w:val="bottom"/>
          </w:tcPr>
          <w:p w14:paraId="481E61E6" w14:textId="77777777" w:rsidR="002D09CA" w:rsidRPr="002D09CA" w:rsidRDefault="002D09CA" w:rsidP="002D09CA">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2017</w:t>
            </w:r>
          </w:p>
        </w:tc>
        <w:tc>
          <w:tcPr>
            <w:tcW w:w="1489" w:type="dxa"/>
            <w:shd w:val="clear" w:color="auto" w:fill="DBEEF3"/>
          </w:tcPr>
          <w:p w14:paraId="509E9390" w14:textId="77777777" w:rsidR="002D09CA" w:rsidRPr="002D09CA" w:rsidRDefault="002D09CA" w:rsidP="002D09CA">
            <w:pPr>
              <w:spacing w:before="0" w:after="0" w:line="240" w:lineRule="auto"/>
              <w:ind w:left="34"/>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27 992</w:t>
            </w:r>
          </w:p>
        </w:tc>
      </w:tr>
      <w:tr w:rsidR="002D09CA" w:rsidRPr="002D09CA" w14:paraId="3E7AD0D6"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vMerge w:val="restart"/>
            <w:shd w:val="clear" w:color="auto" w:fill="B6DDE8"/>
            <w:vAlign w:val="center"/>
          </w:tcPr>
          <w:p w14:paraId="20C875A2" w14:textId="77777777" w:rsidR="002D09CA" w:rsidRPr="002D09CA" w:rsidRDefault="002D09CA" w:rsidP="002D09CA">
            <w:pPr>
              <w:spacing w:before="0" w:after="0" w:line="240" w:lineRule="auto"/>
              <w:jc w:val="left"/>
              <w:rPr>
                <w:rFonts w:cs="Calibri"/>
                <w:b w:val="0"/>
                <w:sz w:val="20"/>
              </w:rPr>
            </w:pPr>
            <w:r w:rsidRPr="002D09CA">
              <w:rPr>
                <w:rFonts w:eastAsia="Times New Roman" w:cs="Calibri"/>
                <w:sz w:val="20"/>
                <w:lang w:eastAsia="cs-CZ"/>
              </w:rPr>
              <w:t>Technologická platební bilance, % celkových příjmů za vývoz služeb</w:t>
            </w:r>
          </w:p>
        </w:tc>
        <w:tc>
          <w:tcPr>
            <w:tcW w:w="1488" w:type="dxa"/>
            <w:shd w:val="clear" w:color="auto" w:fill="B6DDE8"/>
          </w:tcPr>
          <w:p w14:paraId="455589B7" w14:textId="77777777" w:rsidR="002D09CA" w:rsidRPr="002D09CA" w:rsidRDefault="002D09CA" w:rsidP="002D09CA">
            <w:pPr>
              <w:spacing w:before="0" w:after="0" w:line="240" w:lineRule="auto"/>
              <w:ind w:left="34"/>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2012</w:t>
            </w:r>
          </w:p>
        </w:tc>
        <w:tc>
          <w:tcPr>
            <w:tcW w:w="1489" w:type="dxa"/>
            <w:shd w:val="clear" w:color="auto" w:fill="B6DDE8"/>
          </w:tcPr>
          <w:p w14:paraId="7D90FE5A" w14:textId="77777777" w:rsidR="002D09CA" w:rsidRPr="002D09CA" w:rsidRDefault="002D09CA" w:rsidP="002D09CA">
            <w:pPr>
              <w:spacing w:before="0" w:after="0" w:line="240" w:lineRule="auto"/>
              <w:ind w:left="34"/>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1,72 %</w:t>
            </w:r>
          </w:p>
        </w:tc>
      </w:tr>
      <w:tr w:rsidR="002D09CA" w:rsidRPr="002D09CA" w14:paraId="3AE0C14F" w14:textId="77777777" w:rsidTr="00605061">
        <w:tc>
          <w:tcPr>
            <w:cnfStyle w:val="001000000000" w:firstRow="0" w:lastRow="0" w:firstColumn="1" w:lastColumn="0" w:oddVBand="0" w:evenVBand="0" w:oddHBand="0" w:evenHBand="0" w:firstRowFirstColumn="0" w:firstRowLastColumn="0" w:lastRowFirstColumn="0" w:lastRowLastColumn="0"/>
            <w:tcW w:w="6237" w:type="dxa"/>
            <w:vMerge/>
            <w:shd w:val="clear" w:color="auto" w:fill="B6DDE8"/>
            <w:vAlign w:val="center"/>
          </w:tcPr>
          <w:p w14:paraId="08AA6B40" w14:textId="77777777" w:rsidR="002D09CA" w:rsidRPr="002D09CA" w:rsidRDefault="002D09CA" w:rsidP="002D09CA">
            <w:pPr>
              <w:spacing w:before="0" w:after="0" w:line="240" w:lineRule="auto"/>
              <w:jc w:val="left"/>
              <w:rPr>
                <w:rFonts w:cs="Calibri"/>
                <w:b w:val="0"/>
                <w:sz w:val="20"/>
              </w:rPr>
            </w:pPr>
          </w:p>
        </w:tc>
        <w:tc>
          <w:tcPr>
            <w:tcW w:w="1488" w:type="dxa"/>
            <w:shd w:val="clear" w:color="auto" w:fill="B6DDE8"/>
            <w:vAlign w:val="bottom"/>
          </w:tcPr>
          <w:p w14:paraId="0CE130FF" w14:textId="77777777" w:rsidR="002D09CA" w:rsidRPr="002D09CA" w:rsidRDefault="002D09CA" w:rsidP="002D09CA">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2017</w:t>
            </w:r>
          </w:p>
        </w:tc>
        <w:tc>
          <w:tcPr>
            <w:tcW w:w="1489" w:type="dxa"/>
            <w:shd w:val="clear" w:color="auto" w:fill="B6DDE8"/>
          </w:tcPr>
          <w:p w14:paraId="362169B3" w14:textId="77777777" w:rsidR="002D09CA" w:rsidRPr="002D09CA" w:rsidRDefault="002D09CA" w:rsidP="002D09CA">
            <w:pPr>
              <w:spacing w:before="0" w:after="0" w:line="240" w:lineRule="auto"/>
              <w:ind w:left="34"/>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22,95 %</w:t>
            </w:r>
          </w:p>
        </w:tc>
      </w:tr>
      <w:tr w:rsidR="002D09CA" w:rsidRPr="002D09CA" w14:paraId="68360A64"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vMerge w:val="restart"/>
            <w:shd w:val="clear" w:color="auto" w:fill="DBEEF3"/>
            <w:vAlign w:val="center"/>
          </w:tcPr>
          <w:p w14:paraId="5B64BFE6" w14:textId="77777777" w:rsidR="002D09CA" w:rsidRPr="002D09CA" w:rsidRDefault="002D09CA" w:rsidP="002D09CA">
            <w:pPr>
              <w:spacing w:before="0" w:after="0" w:line="240" w:lineRule="auto"/>
              <w:jc w:val="left"/>
              <w:rPr>
                <w:rFonts w:cs="Calibri"/>
                <w:b w:val="0"/>
                <w:sz w:val="20"/>
              </w:rPr>
            </w:pPr>
            <w:r w:rsidRPr="002D09CA">
              <w:rPr>
                <w:rFonts w:eastAsia="Times New Roman" w:cs="Calibri"/>
                <w:sz w:val="20"/>
                <w:lang w:eastAsia="cs-CZ"/>
              </w:rPr>
              <w:t>Celkový index - easy of doing business</w:t>
            </w:r>
            <w:r w:rsidRPr="002D09CA">
              <w:rPr>
                <w:rFonts w:eastAsia="Times New Roman" w:cs="Calibri"/>
                <w:b w:val="0"/>
                <w:sz w:val="20"/>
                <w:lang w:eastAsia="cs-CZ"/>
              </w:rPr>
              <w:t xml:space="preserve"> (pořadí ČR dle </w:t>
            </w:r>
            <w:r w:rsidRPr="002D09CA">
              <w:rPr>
                <w:rFonts w:cs="Calibri"/>
                <w:b w:val="0"/>
                <w:sz w:val="20"/>
              </w:rPr>
              <w:t>Doing Business</w:t>
            </w:r>
            <w:r w:rsidRPr="002D09CA">
              <w:rPr>
                <w:rFonts w:eastAsia="Times New Roman" w:cs="Calibri"/>
                <w:b w:val="0"/>
                <w:sz w:val="20"/>
                <w:lang w:eastAsia="cs-CZ"/>
              </w:rPr>
              <w:t>)</w:t>
            </w:r>
          </w:p>
        </w:tc>
        <w:tc>
          <w:tcPr>
            <w:tcW w:w="1488" w:type="dxa"/>
            <w:shd w:val="clear" w:color="auto" w:fill="DBEEF3"/>
          </w:tcPr>
          <w:p w14:paraId="4322D058" w14:textId="77777777" w:rsidR="002D09CA" w:rsidRPr="002D09CA" w:rsidRDefault="002D09CA" w:rsidP="002D09CA">
            <w:pPr>
              <w:spacing w:before="0" w:after="0" w:line="240" w:lineRule="auto"/>
              <w:ind w:left="34"/>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2014</w:t>
            </w:r>
          </w:p>
        </w:tc>
        <w:tc>
          <w:tcPr>
            <w:tcW w:w="1489" w:type="dxa"/>
            <w:shd w:val="clear" w:color="auto" w:fill="DBEEF3"/>
          </w:tcPr>
          <w:p w14:paraId="299F8820" w14:textId="77777777" w:rsidR="002D09CA" w:rsidRPr="002D09CA" w:rsidRDefault="002D09CA" w:rsidP="002D09CA">
            <w:pPr>
              <w:spacing w:before="0" w:after="0" w:line="240" w:lineRule="auto"/>
              <w:ind w:left="34"/>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75</w:t>
            </w:r>
          </w:p>
        </w:tc>
      </w:tr>
      <w:tr w:rsidR="002D09CA" w:rsidRPr="002D09CA" w14:paraId="767DAFB8" w14:textId="77777777" w:rsidTr="00605061">
        <w:tc>
          <w:tcPr>
            <w:cnfStyle w:val="001000000000" w:firstRow="0" w:lastRow="0" w:firstColumn="1" w:lastColumn="0" w:oddVBand="0" w:evenVBand="0" w:oddHBand="0" w:evenHBand="0" w:firstRowFirstColumn="0" w:firstRowLastColumn="0" w:lastRowFirstColumn="0" w:lastRowLastColumn="0"/>
            <w:tcW w:w="6237" w:type="dxa"/>
            <w:vMerge/>
            <w:shd w:val="clear" w:color="auto" w:fill="DBEEF3"/>
            <w:vAlign w:val="center"/>
          </w:tcPr>
          <w:p w14:paraId="7C398534" w14:textId="77777777" w:rsidR="002D09CA" w:rsidRPr="002D09CA" w:rsidRDefault="002D09CA" w:rsidP="002D09CA">
            <w:pPr>
              <w:spacing w:before="0" w:after="0" w:line="240" w:lineRule="auto"/>
              <w:jc w:val="left"/>
              <w:rPr>
                <w:rFonts w:cs="Calibri"/>
                <w:b w:val="0"/>
                <w:sz w:val="20"/>
              </w:rPr>
            </w:pPr>
          </w:p>
        </w:tc>
        <w:tc>
          <w:tcPr>
            <w:tcW w:w="1488" w:type="dxa"/>
            <w:shd w:val="clear" w:color="auto" w:fill="DBEEF3"/>
          </w:tcPr>
          <w:p w14:paraId="45B804CA" w14:textId="77777777" w:rsidR="002D09CA" w:rsidRPr="002D09CA" w:rsidRDefault="002D09CA" w:rsidP="002D09CA">
            <w:pPr>
              <w:spacing w:before="0" w:after="0" w:line="240" w:lineRule="auto"/>
              <w:ind w:left="34"/>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2018</w:t>
            </w:r>
          </w:p>
        </w:tc>
        <w:tc>
          <w:tcPr>
            <w:tcW w:w="1489" w:type="dxa"/>
            <w:shd w:val="clear" w:color="auto" w:fill="DBEEF3"/>
          </w:tcPr>
          <w:p w14:paraId="3F9C9E9C" w14:textId="77777777" w:rsidR="002D09CA" w:rsidRPr="002D09CA" w:rsidRDefault="002D09CA" w:rsidP="002D09CA">
            <w:pPr>
              <w:spacing w:before="0" w:after="0" w:line="240" w:lineRule="auto"/>
              <w:ind w:left="34"/>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30</w:t>
            </w:r>
          </w:p>
        </w:tc>
      </w:tr>
      <w:tr w:rsidR="002D09CA" w:rsidRPr="002D09CA" w14:paraId="322A4072"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vMerge w:val="restart"/>
            <w:shd w:val="clear" w:color="auto" w:fill="B6DDE8"/>
            <w:vAlign w:val="center"/>
          </w:tcPr>
          <w:p w14:paraId="4ECB1902" w14:textId="77777777" w:rsidR="002D09CA" w:rsidRPr="002D09CA" w:rsidRDefault="002D09CA" w:rsidP="002D09CA">
            <w:pPr>
              <w:spacing w:before="0" w:after="0" w:line="240" w:lineRule="auto"/>
              <w:jc w:val="left"/>
              <w:rPr>
                <w:rFonts w:cs="Calibri"/>
                <w:b w:val="0"/>
                <w:sz w:val="20"/>
              </w:rPr>
            </w:pPr>
            <w:r w:rsidRPr="002D09CA">
              <w:rPr>
                <w:rFonts w:eastAsia="Times New Roman" w:cs="Calibri"/>
                <w:sz w:val="20"/>
                <w:lang w:eastAsia="cs-CZ"/>
              </w:rPr>
              <w:t xml:space="preserve">Kapacita země udržet talenty </w:t>
            </w:r>
            <w:r w:rsidRPr="002D09CA">
              <w:rPr>
                <w:rFonts w:eastAsia="Times New Roman" w:cs="Calibri"/>
                <w:b w:val="0"/>
                <w:sz w:val="20"/>
                <w:lang w:eastAsia="cs-CZ"/>
              </w:rPr>
              <w:t xml:space="preserve">(pořadí ČR </w:t>
            </w:r>
            <w:r w:rsidRPr="002D09CA">
              <w:rPr>
                <w:rFonts w:cs="Calibri"/>
                <w:b w:val="0"/>
                <w:sz w:val="20"/>
              </w:rPr>
              <w:t>dle Global Competitiveness Index</w:t>
            </w:r>
            <w:r w:rsidRPr="002D09CA">
              <w:rPr>
                <w:rFonts w:eastAsia="Times New Roman" w:cs="Calibri"/>
                <w:b w:val="0"/>
                <w:sz w:val="20"/>
                <w:lang w:eastAsia="cs-CZ"/>
              </w:rPr>
              <w:t>)</w:t>
            </w:r>
          </w:p>
        </w:tc>
        <w:tc>
          <w:tcPr>
            <w:tcW w:w="1488" w:type="dxa"/>
            <w:shd w:val="clear" w:color="auto" w:fill="B6DDE8"/>
          </w:tcPr>
          <w:p w14:paraId="608B429B" w14:textId="77777777" w:rsidR="002D09CA" w:rsidRPr="002D09CA" w:rsidRDefault="002D09CA" w:rsidP="002D09CA">
            <w:pPr>
              <w:spacing w:before="0" w:after="0" w:line="240" w:lineRule="auto"/>
              <w:ind w:left="34"/>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2014-15</w:t>
            </w:r>
          </w:p>
        </w:tc>
        <w:tc>
          <w:tcPr>
            <w:tcW w:w="1489" w:type="dxa"/>
            <w:shd w:val="clear" w:color="auto" w:fill="B6DDE8"/>
          </w:tcPr>
          <w:p w14:paraId="59872F31" w14:textId="77777777" w:rsidR="002D09CA" w:rsidRPr="002D09CA" w:rsidRDefault="002D09CA" w:rsidP="002D09CA">
            <w:pPr>
              <w:spacing w:before="0" w:after="0" w:line="240" w:lineRule="auto"/>
              <w:ind w:left="34"/>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80</w:t>
            </w:r>
          </w:p>
        </w:tc>
      </w:tr>
      <w:tr w:rsidR="002D09CA" w:rsidRPr="002D09CA" w14:paraId="69C537EC" w14:textId="77777777" w:rsidTr="00605061">
        <w:tc>
          <w:tcPr>
            <w:cnfStyle w:val="001000000000" w:firstRow="0" w:lastRow="0" w:firstColumn="1" w:lastColumn="0" w:oddVBand="0" w:evenVBand="0" w:oddHBand="0" w:evenHBand="0" w:firstRowFirstColumn="0" w:firstRowLastColumn="0" w:lastRowFirstColumn="0" w:lastRowLastColumn="0"/>
            <w:tcW w:w="6237" w:type="dxa"/>
            <w:vMerge/>
            <w:shd w:val="clear" w:color="auto" w:fill="B6DDE8"/>
            <w:vAlign w:val="center"/>
          </w:tcPr>
          <w:p w14:paraId="19F7207F" w14:textId="77777777" w:rsidR="002D09CA" w:rsidRPr="002D09CA" w:rsidRDefault="002D09CA" w:rsidP="002D09CA">
            <w:pPr>
              <w:spacing w:before="0" w:after="0" w:line="240" w:lineRule="auto"/>
              <w:jc w:val="left"/>
              <w:rPr>
                <w:rFonts w:cs="Calibri"/>
                <w:b w:val="0"/>
                <w:sz w:val="20"/>
              </w:rPr>
            </w:pPr>
          </w:p>
        </w:tc>
        <w:tc>
          <w:tcPr>
            <w:tcW w:w="1488" w:type="dxa"/>
            <w:shd w:val="clear" w:color="auto" w:fill="B6DDE8"/>
          </w:tcPr>
          <w:p w14:paraId="38A65BC3" w14:textId="77777777" w:rsidR="002D09CA" w:rsidRPr="002D09CA" w:rsidRDefault="002D09CA" w:rsidP="002D09CA">
            <w:pPr>
              <w:spacing w:before="0" w:after="0" w:line="240" w:lineRule="auto"/>
              <w:ind w:left="34"/>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2017-18</w:t>
            </w:r>
          </w:p>
        </w:tc>
        <w:tc>
          <w:tcPr>
            <w:tcW w:w="1489" w:type="dxa"/>
            <w:shd w:val="clear" w:color="auto" w:fill="B6DDE8"/>
            <w:vAlign w:val="center"/>
          </w:tcPr>
          <w:p w14:paraId="611B2772" w14:textId="77777777" w:rsidR="002D09CA" w:rsidRPr="002D09CA" w:rsidRDefault="002D09CA" w:rsidP="002D09CA">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51</w:t>
            </w:r>
          </w:p>
        </w:tc>
      </w:tr>
      <w:tr w:rsidR="002D09CA" w:rsidRPr="002D09CA" w14:paraId="093C0AE4"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vMerge w:val="restart"/>
            <w:shd w:val="clear" w:color="auto" w:fill="DBEEF3"/>
            <w:vAlign w:val="center"/>
          </w:tcPr>
          <w:p w14:paraId="4DFF4E12" w14:textId="77777777" w:rsidR="002D09CA" w:rsidRPr="002D09CA" w:rsidRDefault="002D09CA" w:rsidP="002D09CA">
            <w:pPr>
              <w:spacing w:before="0" w:after="0" w:line="240" w:lineRule="auto"/>
              <w:jc w:val="left"/>
              <w:rPr>
                <w:rFonts w:cs="Calibri"/>
                <w:b w:val="0"/>
                <w:sz w:val="20"/>
              </w:rPr>
            </w:pPr>
            <w:r w:rsidRPr="002D09CA">
              <w:rPr>
                <w:rFonts w:eastAsia="Times New Roman" w:cs="Calibri"/>
                <w:sz w:val="20"/>
                <w:lang w:eastAsia="cs-CZ"/>
              </w:rPr>
              <w:t>Kapacita země lákat talenty</w:t>
            </w:r>
            <w:r w:rsidRPr="002D09CA">
              <w:rPr>
                <w:rFonts w:eastAsia="Times New Roman" w:cs="Calibri"/>
                <w:b w:val="0"/>
                <w:sz w:val="20"/>
                <w:lang w:eastAsia="cs-CZ"/>
              </w:rPr>
              <w:t xml:space="preserve"> (pořadí ČR </w:t>
            </w:r>
            <w:r w:rsidRPr="002D09CA">
              <w:rPr>
                <w:rFonts w:cs="Calibri"/>
                <w:b w:val="0"/>
                <w:sz w:val="20"/>
              </w:rPr>
              <w:t>dle Global Competitiveness Index</w:t>
            </w:r>
            <w:r w:rsidRPr="002D09CA">
              <w:rPr>
                <w:rFonts w:eastAsia="Times New Roman" w:cs="Calibri"/>
                <w:b w:val="0"/>
                <w:sz w:val="20"/>
                <w:lang w:eastAsia="cs-CZ"/>
              </w:rPr>
              <w:t>)</w:t>
            </w:r>
          </w:p>
        </w:tc>
        <w:tc>
          <w:tcPr>
            <w:tcW w:w="1488" w:type="dxa"/>
            <w:shd w:val="clear" w:color="auto" w:fill="DBEEF3"/>
          </w:tcPr>
          <w:p w14:paraId="5662F39C" w14:textId="77777777" w:rsidR="002D09CA" w:rsidRPr="002D09CA" w:rsidRDefault="002D09CA" w:rsidP="002D09CA">
            <w:pPr>
              <w:spacing w:before="0" w:after="0" w:line="240" w:lineRule="auto"/>
              <w:ind w:left="34"/>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2014-15</w:t>
            </w:r>
          </w:p>
        </w:tc>
        <w:tc>
          <w:tcPr>
            <w:tcW w:w="1489" w:type="dxa"/>
            <w:shd w:val="clear" w:color="auto" w:fill="DBEEF3"/>
          </w:tcPr>
          <w:p w14:paraId="2D28972B" w14:textId="77777777" w:rsidR="002D09CA" w:rsidRPr="002D09CA" w:rsidRDefault="002D09CA" w:rsidP="002D09CA">
            <w:pPr>
              <w:spacing w:before="0" w:after="0" w:line="240" w:lineRule="auto"/>
              <w:ind w:left="34"/>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93</w:t>
            </w:r>
          </w:p>
        </w:tc>
      </w:tr>
      <w:tr w:rsidR="002D09CA" w:rsidRPr="002D09CA" w14:paraId="7073973E" w14:textId="77777777" w:rsidTr="00605061">
        <w:tc>
          <w:tcPr>
            <w:cnfStyle w:val="001000000000" w:firstRow="0" w:lastRow="0" w:firstColumn="1" w:lastColumn="0" w:oddVBand="0" w:evenVBand="0" w:oddHBand="0" w:evenHBand="0" w:firstRowFirstColumn="0" w:firstRowLastColumn="0" w:lastRowFirstColumn="0" w:lastRowLastColumn="0"/>
            <w:tcW w:w="6237" w:type="dxa"/>
            <w:vMerge/>
            <w:shd w:val="clear" w:color="auto" w:fill="DBEEF3"/>
            <w:vAlign w:val="center"/>
          </w:tcPr>
          <w:p w14:paraId="5F7A7E21" w14:textId="77777777" w:rsidR="002D09CA" w:rsidRPr="002D09CA" w:rsidRDefault="002D09CA" w:rsidP="002D09CA">
            <w:pPr>
              <w:spacing w:before="0" w:after="0" w:line="240" w:lineRule="auto"/>
              <w:jc w:val="left"/>
              <w:rPr>
                <w:rFonts w:cs="Calibri"/>
                <w:b w:val="0"/>
                <w:sz w:val="20"/>
              </w:rPr>
            </w:pPr>
          </w:p>
        </w:tc>
        <w:tc>
          <w:tcPr>
            <w:tcW w:w="1488" w:type="dxa"/>
            <w:shd w:val="clear" w:color="auto" w:fill="DBEEF3"/>
          </w:tcPr>
          <w:p w14:paraId="7945A5C1" w14:textId="77777777" w:rsidR="002D09CA" w:rsidRPr="002D09CA" w:rsidRDefault="002D09CA" w:rsidP="002D09CA">
            <w:pPr>
              <w:spacing w:before="0" w:after="0" w:line="240" w:lineRule="auto"/>
              <w:ind w:left="34"/>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2017-18</w:t>
            </w:r>
          </w:p>
        </w:tc>
        <w:tc>
          <w:tcPr>
            <w:tcW w:w="1489" w:type="dxa"/>
            <w:shd w:val="clear" w:color="auto" w:fill="DBEEF3"/>
          </w:tcPr>
          <w:p w14:paraId="7FF4E149" w14:textId="77777777" w:rsidR="002D09CA" w:rsidRPr="002D09CA" w:rsidRDefault="002D09CA" w:rsidP="002D09CA">
            <w:pPr>
              <w:spacing w:before="0" w:after="0" w:line="240" w:lineRule="auto"/>
              <w:ind w:left="34"/>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74</w:t>
            </w:r>
          </w:p>
        </w:tc>
      </w:tr>
      <w:tr w:rsidR="002D09CA" w:rsidRPr="002D09CA" w14:paraId="1260E921"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vMerge w:val="restart"/>
            <w:shd w:val="clear" w:color="auto" w:fill="B6DDE8"/>
            <w:vAlign w:val="center"/>
          </w:tcPr>
          <w:p w14:paraId="1D7E0AC1" w14:textId="77777777" w:rsidR="002D09CA" w:rsidRPr="002D09CA" w:rsidRDefault="002D09CA" w:rsidP="002D09CA">
            <w:pPr>
              <w:spacing w:before="0" w:after="0" w:line="240" w:lineRule="auto"/>
              <w:jc w:val="left"/>
              <w:rPr>
                <w:rFonts w:cs="Calibri"/>
                <w:b w:val="0"/>
                <w:sz w:val="20"/>
              </w:rPr>
            </w:pPr>
            <w:r w:rsidRPr="002D09CA">
              <w:rPr>
                <w:rFonts w:eastAsia="Times New Roman" w:cs="Calibri"/>
                <w:sz w:val="20"/>
                <w:lang w:eastAsia="cs-CZ"/>
              </w:rPr>
              <w:t>PZI jako podíl HDP</w:t>
            </w:r>
            <w:r w:rsidRPr="002D09CA">
              <w:rPr>
                <w:rFonts w:eastAsia="Times New Roman" w:cs="Calibri"/>
                <w:b w:val="0"/>
                <w:sz w:val="20"/>
                <w:lang w:eastAsia="cs-CZ"/>
              </w:rPr>
              <w:t xml:space="preserve"> (průměr za období)</w:t>
            </w:r>
          </w:p>
        </w:tc>
        <w:tc>
          <w:tcPr>
            <w:tcW w:w="1488" w:type="dxa"/>
            <w:shd w:val="clear" w:color="auto" w:fill="B6DDE8"/>
          </w:tcPr>
          <w:p w14:paraId="076F50E1" w14:textId="77777777" w:rsidR="002D09CA" w:rsidRPr="002D09CA" w:rsidRDefault="002D09CA" w:rsidP="002D09CA">
            <w:pPr>
              <w:spacing w:before="0" w:after="0" w:line="240" w:lineRule="auto"/>
              <w:ind w:left="34"/>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2011–2013</w:t>
            </w:r>
          </w:p>
        </w:tc>
        <w:tc>
          <w:tcPr>
            <w:tcW w:w="1489" w:type="dxa"/>
            <w:shd w:val="clear" w:color="auto" w:fill="B6DDE8"/>
          </w:tcPr>
          <w:p w14:paraId="547E7525" w14:textId="77777777" w:rsidR="002D09CA" w:rsidRPr="002D09CA" w:rsidRDefault="002D09CA" w:rsidP="002D09CA">
            <w:pPr>
              <w:spacing w:before="0" w:after="0" w:line="240" w:lineRule="auto"/>
              <w:ind w:left="34"/>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11. místo</w:t>
            </w:r>
          </w:p>
        </w:tc>
      </w:tr>
      <w:tr w:rsidR="002D09CA" w:rsidRPr="002D09CA" w14:paraId="46F73F80" w14:textId="77777777" w:rsidTr="00605061">
        <w:tc>
          <w:tcPr>
            <w:cnfStyle w:val="001000000000" w:firstRow="0" w:lastRow="0" w:firstColumn="1" w:lastColumn="0" w:oddVBand="0" w:evenVBand="0" w:oddHBand="0" w:evenHBand="0" w:firstRowFirstColumn="0" w:firstRowLastColumn="0" w:lastRowFirstColumn="0" w:lastRowLastColumn="0"/>
            <w:tcW w:w="6237" w:type="dxa"/>
            <w:vMerge/>
            <w:shd w:val="clear" w:color="auto" w:fill="B6DDE8"/>
            <w:vAlign w:val="center"/>
          </w:tcPr>
          <w:p w14:paraId="2ADC64EA" w14:textId="77777777" w:rsidR="002D09CA" w:rsidRPr="002D09CA" w:rsidRDefault="002D09CA" w:rsidP="002D09CA">
            <w:pPr>
              <w:spacing w:before="0" w:after="0" w:line="240" w:lineRule="auto"/>
              <w:jc w:val="left"/>
              <w:rPr>
                <w:rFonts w:cs="Calibri"/>
                <w:b w:val="0"/>
                <w:sz w:val="20"/>
              </w:rPr>
            </w:pPr>
          </w:p>
        </w:tc>
        <w:tc>
          <w:tcPr>
            <w:tcW w:w="1488" w:type="dxa"/>
            <w:shd w:val="clear" w:color="auto" w:fill="B6DDE8"/>
          </w:tcPr>
          <w:p w14:paraId="64183B40" w14:textId="77777777" w:rsidR="002D09CA" w:rsidRPr="002D09CA" w:rsidRDefault="002D09CA" w:rsidP="002D09CA">
            <w:pPr>
              <w:spacing w:before="0" w:after="0" w:line="240" w:lineRule="auto"/>
              <w:ind w:left="34"/>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2017</w:t>
            </w:r>
          </w:p>
        </w:tc>
        <w:tc>
          <w:tcPr>
            <w:tcW w:w="1489" w:type="dxa"/>
            <w:shd w:val="clear" w:color="auto" w:fill="B6DDE8"/>
          </w:tcPr>
          <w:p w14:paraId="10A5E2B7" w14:textId="77777777" w:rsidR="002D09CA" w:rsidRPr="002D09CA" w:rsidRDefault="002D09CA" w:rsidP="002D09CA">
            <w:pPr>
              <w:spacing w:before="0" w:after="0" w:line="240" w:lineRule="auto"/>
              <w:ind w:left="34"/>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11. místo</w:t>
            </w:r>
          </w:p>
        </w:tc>
      </w:tr>
      <w:tr w:rsidR="002D09CA" w:rsidRPr="002D09CA" w14:paraId="241A742D" w14:textId="77777777" w:rsidTr="00605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vMerge w:val="restart"/>
            <w:shd w:val="clear" w:color="auto" w:fill="DBEEF3"/>
            <w:vAlign w:val="center"/>
          </w:tcPr>
          <w:p w14:paraId="164BF41C" w14:textId="77777777" w:rsidR="002D09CA" w:rsidRPr="002D09CA" w:rsidRDefault="002D09CA" w:rsidP="002D09CA">
            <w:pPr>
              <w:spacing w:before="0" w:after="0" w:line="240" w:lineRule="auto"/>
              <w:jc w:val="left"/>
              <w:rPr>
                <w:rFonts w:cs="Calibri"/>
                <w:b w:val="0"/>
                <w:sz w:val="20"/>
              </w:rPr>
            </w:pPr>
            <w:r w:rsidRPr="002D09CA">
              <w:rPr>
                <w:rFonts w:eastAsia="Times New Roman" w:cs="Calibri"/>
                <w:sz w:val="20"/>
                <w:lang w:eastAsia="cs-CZ"/>
              </w:rPr>
              <w:t xml:space="preserve">BERD jako podíl HDP </w:t>
            </w:r>
            <w:r w:rsidRPr="002D09CA">
              <w:rPr>
                <w:rFonts w:eastAsia="Times New Roman" w:cs="Calibri"/>
                <w:b w:val="0"/>
                <w:sz w:val="20"/>
                <w:lang w:eastAsia="cs-CZ"/>
              </w:rPr>
              <w:t>(průměr za období)</w:t>
            </w:r>
          </w:p>
        </w:tc>
        <w:tc>
          <w:tcPr>
            <w:tcW w:w="1488" w:type="dxa"/>
            <w:shd w:val="clear" w:color="auto" w:fill="DBEEF3"/>
          </w:tcPr>
          <w:p w14:paraId="7AE08B25" w14:textId="77777777" w:rsidR="002D09CA" w:rsidRPr="002D09CA" w:rsidRDefault="002D09CA" w:rsidP="002D09CA">
            <w:pPr>
              <w:spacing w:before="0" w:after="0" w:line="240" w:lineRule="auto"/>
              <w:ind w:left="34"/>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2010–2012</w:t>
            </w:r>
          </w:p>
        </w:tc>
        <w:tc>
          <w:tcPr>
            <w:tcW w:w="1489" w:type="dxa"/>
            <w:shd w:val="clear" w:color="auto" w:fill="DBEEF3"/>
          </w:tcPr>
          <w:p w14:paraId="1346F465" w14:textId="77777777" w:rsidR="002D09CA" w:rsidRPr="002D09CA" w:rsidRDefault="002D09CA" w:rsidP="002D09CA">
            <w:pPr>
              <w:spacing w:before="0" w:after="0" w:line="240" w:lineRule="auto"/>
              <w:ind w:left="34"/>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14. místo</w:t>
            </w:r>
          </w:p>
        </w:tc>
      </w:tr>
      <w:tr w:rsidR="002D09CA" w:rsidRPr="002D09CA" w14:paraId="11B60B49" w14:textId="77777777" w:rsidTr="00605061">
        <w:tc>
          <w:tcPr>
            <w:cnfStyle w:val="001000000000" w:firstRow="0" w:lastRow="0" w:firstColumn="1" w:lastColumn="0" w:oddVBand="0" w:evenVBand="0" w:oddHBand="0" w:evenHBand="0" w:firstRowFirstColumn="0" w:firstRowLastColumn="0" w:lastRowFirstColumn="0" w:lastRowLastColumn="0"/>
            <w:tcW w:w="6237" w:type="dxa"/>
            <w:vMerge/>
            <w:shd w:val="clear" w:color="auto" w:fill="DBEEF3"/>
            <w:vAlign w:val="center"/>
          </w:tcPr>
          <w:p w14:paraId="25E79FA4" w14:textId="77777777" w:rsidR="002D09CA" w:rsidRPr="002D09CA" w:rsidRDefault="002D09CA" w:rsidP="002D09CA">
            <w:pPr>
              <w:spacing w:before="0" w:after="0" w:line="240" w:lineRule="auto"/>
              <w:jc w:val="left"/>
              <w:rPr>
                <w:rFonts w:cs="Calibri"/>
                <w:b w:val="0"/>
                <w:sz w:val="20"/>
              </w:rPr>
            </w:pPr>
          </w:p>
        </w:tc>
        <w:tc>
          <w:tcPr>
            <w:tcW w:w="1488" w:type="dxa"/>
            <w:shd w:val="clear" w:color="auto" w:fill="DBEEF3"/>
          </w:tcPr>
          <w:p w14:paraId="41E42062" w14:textId="77777777" w:rsidR="002D09CA" w:rsidRPr="002D09CA" w:rsidRDefault="002D09CA" w:rsidP="002D09CA">
            <w:pPr>
              <w:spacing w:before="0" w:after="0" w:line="240" w:lineRule="auto"/>
              <w:ind w:left="34"/>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2016</w:t>
            </w:r>
          </w:p>
        </w:tc>
        <w:tc>
          <w:tcPr>
            <w:tcW w:w="1489" w:type="dxa"/>
            <w:shd w:val="clear" w:color="auto" w:fill="DBEEF3"/>
          </w:tcPr>
          <w:p w14:paraId="67BB2637" w14:textId="77777777" w:rsidR="002D09CA" w:rsidRPr="002D09CA" w:rsidRDefault="002D09CA" w:rsidP="002D09CA">
            <w:pPr>
              <w:spacing w:before="0" w:after="0" w:line="240" w:lineRule="auto"/>
              <w:ind w:left="34"/>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lang w:eastAsia="cs-CZ"/>
              </w:rPr>
            </w:pPr>
            <w:r w:rsidRPr="002D09CA">
              <w:rPr>
                <w:rFonts w:eastAsia="Times New Roman" w:cs="Calibri"/>
                <w:sz w:val="20"/>
                <w:lang w:eastAsia="cs-CZ"/>
              </w:rPr>
              <w:t>11. místo</w:t>
            </w:r>
          </w:p>
        </w:tc>
      </w:tr>
    </w:tbl>
    <w:p w14:paraId="0FDBBA4D" w14:textId="77777777" w:rsidR="009A504C" w:rsidRPr="005C6DF2" w:rsidRDefault="0094549F" w:rsidP="005C6DF2">
      <w:pPr>
        <w:spacing w:before="0"/>
        <w:rPr>
          <w:sz w:val="18"/>
          <w:szCs w:val="18"/>
          <w:lang w:bidi="ar-SA"/>
        </w:rPr>
      </w:pPr>
      <w:r w:rsidRPr="005C6DF2">
        <w:rPr>
          <w:sz w:val="18"/>
          <w:szCs w:val="18"/>
          <w:lang w:bidi="ar-SA"/>
        </w:rPr>
        <w:t>Zdroj: Národní RIS3 strategie (2018)</w:t>
      </w:r>
    </w:p>
    <w:p w14:paraId="7B86DA16" w14:textId="22068CCF" w:rsidR="0088498B" w:rsidRPr="00EB7A4D" w:rsidRDefault="00685606" w:rsidP="00AE4F97">
      <w:pPr>
        <w:rPr>
          <w:lang w:bidi="ar-SA"/>
        </w:rPr>
      </w:pPr>
      <w:r>
        <w:rPr>
          <w:lang w:bidi="ar-SA"/>
        </w:rPr>
        <w:t>Indikátory pro hodnocení makroekonomických</w:t>
      </w:r>
      <w:r w:rsidR="00EF2896">
        <w:rPr>
          <w:lang w:bidi="ar-SA"/>
        </w:rPr>
        <w:t xml:space="preserve"> a</w:t>
      </w:r>
      <w:r>
        <w:rPr>
          <w:lang w:bidi="ar-SA"/>
        </w:rPr>
        <w:t xml:space="preserve"> strukturálních </w:t>
      </w:r>
      <w:r w:rsidR="0088498B">
        <w:rPr>
          <w:lang w:bidi="ar-SA"/>
        </w:rPr>
        <w:t>parametrů jsou doplněny o</w:t>
      </w:r>
      <w:r w:rsidR="001C20BB">
        <w:rPr>
          <w:lang w:bidi="ar-SA"/>
        </w:rPr>
        <w:t> </w:t>
      </w:r>
      <w:r w:rsidR="0088498B">
        <w:rPr>
          <w:lang w:bidi="ar-SA"/>
        </w:rPr>
        <w:t>indikátory charakterizující podnikatelské prostředí a prostředí pro výzkum a vývoj.</w:t>
      </w:r>
      <w:r w:rsidR="00EF2896">
        <w:rPr>
          <w:lang w:bidi="ar-SA"/>
        </w:rPr>
        <w:t xml:space="preserve"> </w:t>
      </w:r>
      <w:r w:rsidR="0088498B">
        <w:rPr>
          <w:lang w:bidi="ar-SA"/>
        </w:rPr>
        <w:t>Druhou skupinu indikátorů tvoří celosvětové indexy a pořadí ČR na příslušném žebříčku. S výjimkou zanedbatelné záporné odchylky lze ve všech sledovaných paramet</w:t>
      </w:r>
      <w:r w:rsidR="007150D8">
        <w:rPr>
          <w:lang w:bidi="ar-SA"/>
        </w:rPr>
        <w:t>r</w:t>
      </w:r>
      <w:r w:rsidR="0088498B">
        <w:rPr>
          <w:lang w:bidi="ar-SA"/>
        </w:rPr>
        <w:t xml:space="preserve">ech hovořit o </w:t>
      </w:r>
      <w:r w:rsidR="0088498B" w:rsidRPr="00EF2896">
        <w:rPr>
          <w:b/>
          <w:lang w:bidi="ar-SA"/>
        </w:rPr>
        <w:t>pozitivním posunu ČR.</w:t>
      </w:r>
    </w:p>
    <w:p w14:paraId="7F696E15" w14:textId="77777777" w:rsidR="00AE2103" w:rsidRDefault="00AE2103" w:rsidP="006010C4">
      <w:pPr>
        <w:rPr>
          <w:szCs w:val="22"/>
        </w:rPr>
      </w:pPr>
    </w:p>
    <w:p w14:paraId="0AB111A5" w14:textId="77777777" w:rsidR="00BA59FB" w:rsidRDefault="00237DF9" w:rsidP="00BA59FB">
      <w:pPr>
        <w:pStyle w:val="Nadpis3"/>
        <w:keepNext/>
        <w:keepLines/>
        <w:numPr>
          <w:ilvl w:val="0"/>
          <w:numId w:val="0"/>
        </w:numPr>
        <w:pBdr>
          <w:top w:val="none" w:sz="0" w:space="0" w:color="auto"/>
          <w:left w:val="none" w:sz="0" w:space="0" w:color="auto"/>
        </w:pBdr>
        <w:spacing w:before="40" w:after="0" w:line="293" w:lineRule="auto"/>
        <w:jc w:val="left"/>
        <w:rPr>
          <w:b/>
          <w:lang w:bidi="ar-SA"/>
        </w:rPr>
      </w:pPr>
      <w:bookmarkStart w:id="43" w:name="_Toc5626451"/>
      <w:r>
        <w:rPr>
          <w:rFonts w:asciiTheme="majorHAnsi" w:eastAsiaTheme="majorEastAsia" w:hAnsiTheme="majorHAnsi" w:cstheme="majorHAnsi"/>
          <w:i/>
          <w:caps/>
          <w:color w:val="004B8D"/>
          <w:spacing w:val="0"/>
          <w:sz w:val="22"/>
          <w:lang w:bidi="ar-SA"/>
        </w:rPr>
        <w:t xml:space="preserve">3.2.2 </w:t>
      </w:r>
      <w:r w:rsidR="00C64D75">
        <w:rPr>
          <w:rFonts w:asciiTheme="majorHAnsi" w:eastAsiaTheme="majorEastAsia" w:hAnsiTheme="majorHAnsi" w:cstheme="majorHAnsi"/>
          <w:i/>
          <w:caps/>
          <w:color w:val="004B8D"/>
          <w:spacing w:val="0"/>
          <w:sz w:val="22"/>
          <w:lang w:bidi="ar-SA"/>
        </w:rPr>
        <w:t>vertikáln</w:t>
      </w:r>
      <w:r w:rsidR="00C64D75" w:rsidRPr="00B90483">
        <w:rPr>
          <w:rFonts w:asciiTheme="majorHAnsi" w:eastAsiaTheme="majorEastAsia" w:hAnsiTheme="majorHAnsi" w:cstheme="majorHAnsi"/>
          <w:i/>
          <w:caps/>
          <w:color w:val="004B8D"/>
          <w:spacing w:val="0"/>
          <w:sz w:val="22"/>
          <w:lang w:bidi="ar-SA"/>
        </w:rPr>
        <w:t xml:space="preserve">í </w:t>
      </w:r>
      <w:r w:rsidR="00A51508">
        <w:rPr>
          <w:rFonts w:asciiTheme="majorHAnsi" w:eastAsiaTheme="majorEastAsia" w:hAnsiTheme="majorHAnsi" w:cstheme="majorHAnsi"/>
          <w:i/>
          <w:caps/>
          <w:color w:val="004B8D"/>
          <w:spacing w:val="0"/>
          <w:sz w:val="22"/>
          <w:lang w:bidi="ar-SA"/>
        </w:rPr>
        <w:t>zacílení</w:t>
      </w:r>
      <w:r w:rsidR="00C64D75" w:rsidRPr="00B90483">
        <w:rPr>
          <w:rFonts w:asciiTheme="majorHAnsi" w:eastAsiaTheme="majorEastAsia" w:hAnsiTheme="majorHAnsi" w:cstheme="majorHAnsi"/>
          <w:i/>
          <w:caps/>
          <w:color w:val="004B8D"/>
          <w:spacing w:val="0"/>
          <w:sz w:val="22"/>
          <w:lang w:bidi="ar-SA"/>
        </w:rPr>
        <w:t xml:space="preserve"> Národní RIS3 strategie</w:t>
      </w:r>
      <w:bookmarkEnd w:id="43"/>
    </w:p>
    <w:p w14:paraId="45FE9DB7" w14:textId="77777777" w:rsidR="00A51508" w:rsidRPr="00A51508" w:rsidRDefault="00A51508" w:rsidP="00C041DE">
      <w:pPr>
        <w:rPr>
          <w:lang w:bidi="ar-SA"/>
        </w:rPr>
      </w:pPr>
      <w:r w:rsidRPr="00A51508">
        <w:rPr>
          <w:lang w:bidi="ar-SA"/>
        </w:rPr>
        <w:t xml:space="preserve">Druhou </w:t>
      </w:r>
      <w:r>
        <w:rPr>
          <w:lang w:bidi="ar-SA"/>
        </w:rPr>
        <w:t xml:space="preserve">strukturní rovinu Národní RIS3 strategie představují národní domény </w:t>
      </w:r>
      <w:r w:rsidR="00237DF9">
        <w:rPr>
          <w:lang w:bidi="ar-SA"/>
        </w:rPr>
        <w:t xml:space="preserve">inteligentní </w:t>
      </w:r>
      <w:r>
        <w:rPr>
          <w:lang w:bidi="ar-SA"/>
        </w:rPr>
        <w:t xml:space="preserve">specializace (vertikální cíle). Národní domény </w:t>
      </w:r>
      <w:r w:rsidR="00237DF9">
        <w:rPr>
          <w:lang w:bidi="ar-SA"/>
        </w:rPr>
        <w:t xml:space="preserve">inteligentní </w:t>
      </w:r>
      <w:r>
        <w:rPr>
          <w:lang w:bidi="ar-SA"/>
        </w:rPr>
        <w:t>specializace představují priority, na které by se měl zaměřovat orientovaný a aplikovaný výzkum ČR, a které je vhodné podporovat s ohledem na národní ekonomickou a výzkumnou výkonnost v evropském a globálním kontextu</w:t>
      </w:r>
      <w:r>
        <w:rPr>
          <w:rStyle w:val="Znakapoznpodarou"/>
          <w:lang w:bidi="ar-SA"/>
        </w:rPr>
        <w:footnoteReference w:id="24"/>
      </w:r>
      <w:r>
        <w:rPr>
          <w:lang w:bidi="ar-SA"/>
        </w:rPr>
        <w:t xml:space="preserve">. </w:t>
      </w:r>
    </w:p>
    <w:p w14:paraId="53F546DA" w14:textId="77777777" w:rsidR="00CD39A9" w:rsidRPr="00CD39A9" w:rsidRDefault="00CD39A9" w:rsidP="00C041DE">
      <w:pPr>
        <w:rPr>
          <w:lang w:bidi="ar-SA"/>
        </w:rPr>
      </w:pPr>
      <w:r w:rsidRPr="00CD39A9">
        <w:rPr>
          <w:lang w:bidi="ar-SA"/>
        </w:rPr>
        <w:t>Znalostní domény představují soubor poznatků a technologických schopností generické</w:t>
      </w:r>
      <w:r>
        <w:rPr>
          <w:rStyle w:val="Znakapoznpodarou"/>
          <w:lang w:bidi="ar-SA"/>
        </w:rPr>
        <w:footnoteReference w:id="25"/>
      </w:r>
      <w:r w:rsidRPr="00CD39A9">
        <w:rPr>
          <w:lang w:bidi="ar-SA"/>
        </w:rPr>
        <w:t xml:space="preserve">, průřezové povahy s širokým spektrem možných aplikací v řadě oblastí soukromé i veřejné spotřeby. </w:t>
      </w:r>
    </w:p>
    <w:p w14:paraId="03ABFD14" w14:textId="77777777" w:rsidR="00C929F1" w:rsidRDefault="00C929F1" w:rsidP="00C929F1">
      <w:pPr>
        <w:rPr>
          <w:lang w:bidi="ar-SA"/>
        </w:rPr>
      </w:pPr>
      <w:r>
        <w:rPr>
          <w:lang w:bidi="ar-SA"/>
        </w:rPr>
        <w:lastRenderedPageBreak/>
        <w:t>Domény inteligentní specializace představují průniky</w:t>
      </w:r>
      <w:r w:rsidR="00820BC7">
        <w:rPr>
          <w:rStyle w:val="Znakapoznpodarou"/>
          <w:lang w:bidi="ar-SA"/>
        </w:rPr>
        <w:footnoteReference w:id="26"/>
      </w:r>
      <w:r>
        <w:rPr>
          <w:lang w:bidi="ar-SA"/>
        </w:rPr>
        <w:t xml:space="preserve"> </w:t>
      </w:r>
    </w:p>
    <w:p w14:paraId="7818A09C" w14:textId="77777777" w:rsidR="00C929F1" w:rsidRDefault="00C929F1" w:rsidP="00D10F0D">
      <w:pPr>
        <w:pStyle w:val="Odstavecseseznamem"/>
        <w:numPr>
          <w:ilvl w:val="0"/>
          <w:numId w:val="29"/>
        </w:numPr>
        <w:rPr>
          <w:lang w:bidi="ar-SA"/>
        </w:rPr>
      </w:pPr>
      <w:r>
        <w:rPr>
          <w:lang w:bidi="ar-SA"/>
        </w:rPr>
        <w:t xml:space="preserve">generických </w:t>
      </w:r>
      <w:r w:rsidRPr="00577566">
        <w:rPr>
          <w:b/>
          <w:lang w:bidi="ar-SA"/>
        </w:rPr>
        <w:t>znalostních domén</w:t>
      </w:r>
      <w:r>
        <w:rPr>
          <w:lang w:bidi="ar-SA"/>
        </w:rPr>
        <w:t xml:space="preserve"> (tj. průřezových klíčových technologií a znalostí uplatnitelných v řadě aplikačních oblastí) – výzkumná specializace</w:t>
      </w:r>
    </w:p>
    <w:p w14:paraId="63D6714A" w14:textId="77777777" w:rsidR="00C929F1" w:rsidRDefault="00C929F1" w:rsidP="00D10F0D">
      <w:pPr>
        <w:pStyle w:val="Odstavecseseznamem"/>
        <w:numPr>
          <w:ilvl w:val="0"/>
          <w:numId w:val="29"/>
        </w:numPr>
        <w:rPr>
          <w:lang w:bidi="ar-SA"/>
        </w:rPr>
      </w:pPr>
      <w:r w:rsidRPr="00577566">
        <w:rPr>
          <w:b/>
          <w:lang w:bidi="ar-SA"/>
        </w:rPr>
        <w:t>aplikačních odvětví</w:t>
      </w:r>
      <w:r>
        <w:rPr>
          <w:lang w:bidi="ar-SA"/>
        </w:rPr>
        <w:t xml:space="preserve"> (tj. nosných odvětví, které jsou schopny výsledky výzkumu a vývoje aplikovat v praxi) – ekonomická specializace </w:t>
      </w:r>
    </w:p>
    <w:p w14:paraId="34C4FE06" w14:textId="77777777" w:rsidR="00C041DE" w:rsidRDefault="00C041DE" w:rsidP="00C041DE">
      <w:r w:rsidRPr="00AC73DA">
        <w:rPr>
          <w:b/>
          <w:lang w:bidi="ar-SA"/>
        </w:rPr>
        <w:t>Znalostní domény</w:t>
      </w:r>
      <w:r>
        <w:rPr>
          <w:lang w:bidi="ar-SA"/>
        </w:rPr>
        <w:t xml:space="preserve"> </w:t>
      </w:r>
      <w:r w:rsidR="008667BE">
        <w:rPr>
          <w:lang w:bidi="ar-SA"/>
        </w:rPr>
        <w:t xml:space="preserve">uvedené v </w:t>
      </w:r>
      <w:r>
        <w:rPr>
          <w:lang w:bidi="ar-SA"/>
        </w:rPr>
        <w:t>Národní RIS3 strategi</w:t>
      </w:r>
      <w:r w:rsidR="008667BE">
        <w:rPr>
          <w:lang w:bidi="ar-SA"/>
        </w:rPr>
        <w:t>i</w:t>
      </w:r>
      <w:r>
        <w:rPr>
          <w:lang w:bidi="ar-SA"/>
        </w:rPr>
        <w:t xml:space="preserve"> vychází ze </w:t>
      </w:r>
      <w:r>
        <w:t xml:space="preserve">Sdělení </w:t>
      </w:r>
      <w:r w:rsidR="006656B6">
        <w:t>K</w:t>
      </w:r>
      <w:r>
        <w:t xml:space="preserve">omise </w:t>
      </w:r>
      <w:r w:rsidR="00EF2896">
        <w:t>C</w:t>
      </w:r>
      <w:r>
        <w:t>OM(2009)512, kde se doslovně uvádí:</w:t>
      </w:r>
    </w:p>
    <w:p w14:paraId="0451F35E" w14:textId="4B5EB759" w:rsidR="00C041DE" w:rsidRPr="008667BE" w:rsidRDefault="00C041DE" w:rsidP="00A177D7">
      <w:pPr>
        <w:autoSpaceDE w:val="0"/>
        <w:autoSpaceDN w:val="0"/>
        <w:adjustRightInd w:val="0"/>
        <w:rPr>
          <w:rFonts w:cstheme="minorHAnsi"/>
        </w:rPr>
      </w:pPr>
      <w:r w:rsidRPr="007F6C08">
        <w:rPr>
          <w:rFonts w:cstheme="minorHAnsi"/>
          <w:i/>
        </w:rPr>
        <w:t>Na základě celosvětových tržních trendů a trendů ve výzkumu lze považovat za nejvíce strategicky důležité klíčové technologie (vzhledem k jejich hospodářskému potenciálu, schopnosti přispět k</w:t>
      </w:r>
      <w:r w:rsidR="00B9612D">
        <w:rPr>
          <w:rFonts w:cstheme="minorHAnsi"/>
          <w:i/>
        </w:rPr>
        <w:t> </w:t>
      </w:r>
      <w:r w:rsidRPr="007F6C08">
        <w:rPr>
          <w:rFonts w:cstheme="minorHAnsi"/>
          <w:i/>
        </w:rPr>
        <w:t>řešení společenských výzev a náročnosti na znalosti) tyto technologie</w:t>
      </w:r>
      <w:r w:rsidR="00A177D7">
        <w:rPr>
          <w:rFonts w:cstheme="minorHAnsi"/>
          <w:i/>
        </w:rPr>
        <w:t xml:space="preserve">: </w:t>
      </w:r>
      <w:r w:rsidRPr="008667BE">
        <w:rPr>
          <w:rFonts w:cstheme="minorHAnsi"/>
          <w:bCs/>
          <w:i/>
        </w:rPr>
        <w:t>nanotechnologie</w:t>
      </w:r>
      <w:r w:rsidRPr="008667BE">
        <w:rPr>
          <w:rFonts w:cstheme="minorHAnsi"/>
          <w:i/>
        </w:rPr>
        <w:t>;</w:t>
      </w:r>
      <w:r w:rsidR="00A177D7">
        <w:rPr>
          <w:rFonts w:cstheme="minorHAnsi"/>
          <w:i/>
        </w:rPr>
        <w:t xml:space="preserve"> </w:t>
      </w:r>
      <w:r w:rsidRPr="008667BE">
        <w:rPr>
          <w:rFonts w:cstheme="minorHAnsi"/>
          <w:bCs/>
          <w:i/>
        </w:rPr>
        <w:t>mikro a</w:t>
      </w:r>
      <w:r w:rsidR="00B9612D">
        <w:rPr>
          <w:rFonts w:cstheme="minorHAnsi"/>
          <w:bCs/>
          <w:i/>
        </w:rPr>
        <w:t> </w:t>
      </w:r>
      <w:r w:rsidRPr="008667BE">
        <w:rPr>
          <w:rFonts w:cstheme="minorHAnsi"/>
          <w:bCs/>
          <w:i/>
        </w:rPr>
        <w:t>nanoelektronika včetně polovodičů</w:t>
      </w:r>
      <w:r w:rsidRPr="008667BE">
        <w:rPr>
          <w:rFonts w:cstheme="minorHAnsi"/>
          <w:i/>
        </w:rPr>
        <w:t>;</w:t>
      </w:r>
      <w:r w:rsidR="00A177D7">
        <w:rPr>
          <w:rFonts w:cstheme="minorHAnsi"/>
          <w:i/>
        </w:rPr>
        <w:t xml:space="preserve"> </w:t>
      </w:r>
      <w:r w:rsidRPr="008667BE">
        <w:rPr>
          <w:rFonts w:cstheme="minorHAnsi"/>
          <w:bCs/>
          <w:i/>
        </w:rPr>
        <w:t>fotonika</w:t>
      </w:r>
      <w:r w:rsidRPr="008667BE">
        <w:rPr>
          <w:rFonts w:cstheme="minorHAnsi"/>
          <w:i/>
        </w:rPr>
        <w:t>;</w:t>
      </w:r>
      <w:r w:rsidR="00A177D7">
        <w:rPr>
          <w:rFonts w:cstheme="minorHAnsi"/>
          <w:i/>
        </w:rPr>
        <w:t xml:space="preserve"> </w:t>
      </w:r>
      <w:r w:rsidRPr="008667BE">
        <w:rPr>
          <w:rFonts w:cstheme="minorHAnsi"/>
          <w:bCs/>
          <w:i/>
        </w:rPr>
        <w:t>pokročilé materiály</w:t>
      </w:r>
      <w:r w:rsidRPr="008667BE">
        <w:rPr>
          <w:rFonts w:cstheme="minorHAnsi"/>
          <w:i/>
        </w:rPr>
        <w:t>;</w:t>
      </w:r>
      <w:r w:rsidR="00EF2896">
        <w:rPr>
          <w:rFonts w:cstheme="minorHAnsi"/>
          <w:i/>
        </w:rPr>
        <w:t xml:space="preserve"> </w:t>
      </w:r>
      <w:r w:rsidRPr="008667BE">
        <w:rPr>
          <w:rFonts w:cstheme="minorHAnsi"/>
          <w:bCs/>
          <w:i/>
        </w:rPr>
        <w:t>biotechnologie</w:t>
      </w:r>
      <w:r w:rsidR="00A177D7">
        <w:rPr>
          <w:rStyle w:val="Znakapoznpodarou"/>
          <w:rFonts w:cstheme="minorHAnsi"/>
          <w:i/>
        </w:rPr>
        <w:footnoteReference w:id="27"/>
      </w:r>
      <w:r w:rsidRPr="008667BE">
        <w:rPr>
          <w:rFonts w:cstheme="minorHAnsi"/>
          <w:i/>
        </w:rPr>
        <w:t>.</w:t>
      </w:r>
    </w:p>
    <w:p w14:paraId="56F1FFB0" w14:textId="77777777" w:rsidR="00C041DE" w:rsidRPr="00C041DE" w:rsidRDefault="00C041DE" w:rsidP="00A51508">
      <w:pPr>
        <w:pStyle w:val="Default"/>
        <w:jc w:val="both"/>
        <w:rPr>
          <w:rFonts w:asciiTheme="majorHAnsi" w:hAnsiTheme="majorHAnsi" w:cstheme="majorHAnsi"/>
          <w:sz w:val="22"/>
          <w:szCs w:val="22"/>
        </w:rPr>
      </w:pPr>
      <w:r w:rsidRPr="00C041DE">
        <w:rPr>
          <w:rFonts w:asciiTheme="majorHAnsi" w:hAnsiTheme="majorHAnsi" w:cstheme="majorHAnsi"/>
          <w:sz w:val="22"/>
          <w:szCs w:val="22"/>
        </w:rPr>
        <w:t xml:space="preserve">V podmínkách ČR byly </w:t>
      </w:r>
      <w:r w:rsidR="00A51508">
        <w:rPr>
          <w:rFonts w:asciiTheme="majorHAnsi" w:hAnsiTheme="majorHAnsi" w:cstheme="majorHAnsi"/>
          <w:sz w:val="22"/>
          <w:szCs w:val="22"/>
        </w:rPr>
        <w:t xml:space="preserve">výše uvedené </w:t>
      </w:r>
      <w:r w:rsidRPr="00C041DE">
        <w:rPr>
          <w:rFonts w:asciiTheme="majorHAnsi" w:hAnsiTheme="majorHAnsi" w:cstheme="majorHAnsi"/>
          <w:sz w:val="22"/>
          <w:szCs w:val="22"/>
        </w:rPr>
        <w:t>klíčové technologie (</w:t>
      </w:r>
      <w:r w:rsidR="00A51508">
        <w:rPr>
          <w:rFonts w:asciiTheme="majorHAnsi" w:hAnsiTheme="majorHAnsi" w:cstheme="majorHAnsi"/>
          <w:sz w:val="22"/>
          <w:szCs w:val="22"/>
        </w:rPr>
        <w:t xml:space="preserve">tzv. </w:t>
      </w:r>
      <w:r w:rsidRPr="00C041DE">
        <w:rPr>
          <w:rFonts w:asciiTheme="majorHAnsi" w:hAnsiTheme="majorHAnsi" w:cstheme="majorHAnsi"/>
          <w:sz w:val="22"/>
          <w:szCs w:val="22"/>
        </w:rPr>
        <w:t xml:space="preserve">KETs) </w:t>
      </w:r>
      <w:r w:rsidR="00C64D75">
        <w:rPr>
          <w:rFonts w:asciiTheme="majorHAnsi" w:hAnsiTheme="majorHAnsi" w:cstheme="majorHAnsi"/>
          <w:sz w:val="22"/>
          <w:szCs w:val="22"/>
        </w:rPr>
        <w:t>re</w:t>
      </w:r>
      <w:r w:rsidRPr="00C041DE">
        <w:rPr>
          <w:rFonts w:asciiTheme="majorHAnsi" w:hAnsiTheme="majorHAnsi" w:cstheme="majorHAnsi"/>
          <w:sz w:val="22"/>
          <w:szCs w:val="22"/>
        </w:rPr>
        <w:t xml:space="preserve">definovány jako </w:t>
      </w:r>
      <w:r w:rsidRPr="00C041DE">
        <w:rPr>
          <w:rFonts w:asciiTheme="majorHAnsi" w:hAnsiTheme="majorHAnsi" w:cstheme="majorHAnsi"/>
          <w:b/>
          <w:sz w:val="22"/>
          <w:szCs w:val="22"/>
        </w:rPr>
        <w:t>technologické znalostní domény</w:t>
      </w:r>
      <w:r w:rsidRPr="00C041DE">
        <w:rPr>
          <w:rFonts w:asciiTheme="majorHAnsi" w:hAnsiTheme="majorHAnsi" w:cstheme="majorHAnsi"/>
          <w:sz w:val="22"/>
          <w:szCs w:val="22"/>
        </w:rPr>
        <w:t>:</w:t>
      </w:r>
    </w:p>
    <w:p w14:paraId="1CEAF907" w14:textId="77777777" w:rsidR="00C041DE" w:rsidRPr="00C041DE" w:rsidRDefault="00C041DE" w:rsidP="00D10F0D">
      <w:pPr>
        <w:pStyle w:val="Default"/>
        <w:numPr>
          <w:ilvl w:val="0"/>
          <w:numId w:val="9"/>
        </w:numPr>
        <w:spacing w:before="0" w:after="0" w:line="240" w:lineRule="auto"/>
        <w:rPr>
          <w:rFonts w:asciiTheme="majorHAnsi" w:hAnsiTheme="majorHAnsi" w:cstheme="majorHAnsi"/>
          <w:sz w:val="22"/>
          <w:szCs w:val="22"/>
        </w:rPr>
      </w:pPr>
      <w:r w:rsidRPr="00C041DE">
        <w:rPr>
          <w:rFonts w:asciiTheme="majorHAnsi" w:hAnsiTheme="majorHAnsi" w:cstheme="majorHAnsi"/>
          <w:sz w:val="22"/>
          <w:szCs w:val="22"/>
        </w:rPr>
        <w:t>pokročilé materiály,</w:t>
      </w:r>
    </w:p>
    <w:p w14:paraId="7D603F35" w14:textId="77777777" w:rsidR="00C041DE" w:rsidRPr="00C041DE" w:rsidRDefault="00C041DE" w:rsidP="00D10F0D">
      <w:pPr>
        <w:pStyle w:val="Default"/>
        <w:numPr>
          <w:ilvl w:val="0"/>
          <w:numId w:val="9"/>
        </w:numPr>
        <w:spacing w:before="0" w:after="0" w:line="240" w:lineRule="auto"/>
        <w:rPr>
          <w:rFonts w:asciiTheme="majorHAnsi" w:hAnsiTheme="majorHAnsi" w:cstheme="majorHAnsi"/>
          <w:sz w:val="22"/>
          <w:szCs w:val="22"/>
        </w:rPr>
      </w:pPr>
      <w:r w:rsidRPr="00C041DE">
        <w:rPr>
          <w:rFonts w:asciiTheme="majorHAnsi" w:hAnsiTheme="majorHAnsi" w:cstheme="majorHAnsi"/>
          <w:sz w:val="22"/>
          <w:szCs w:val="22"/>
        </w:rPr>
        <w:t>nanotechnologie,</w:t>
      </w:r>
    </w:p>
    <w:p w14:paraId="7065C0E6" w14:textId="77777777" w:rsidR="00C041DE" w:rsidRPr="00C041DE" w:rsidRDefault="00C041DE" w:rsidP="00D10F0D">
      <w:pPr>
        <w:pStyle w:val="Default"/>
        <w:numPr>
          <w:ilvl w:val="0"/>
          <w:numId w:val="9"/>
        </w:numPr>
        <w:spacing w:before="0" w:after="0" w:line="240" w:lineRule="auto"/>
        <w:rPr>
          <w:rFonts w:asciiTheme="majorHAnsi" w:hAnsiTheme="majorHAnsi" w:cstheme="majorHAnsi"/>
          <w:sz w:val="22"/>
          <w:szCs w:val="22"/>
        </w:rPr>
      </w:pPr>
      <w:r w:rsidRPr="00C041DE">
        <w:rPr>
          <w:rFonts w:asciiTheme="majorHAnsi" w:hAnsiTheme="majorHAnsi" w:cstheme="majorHAnsi"/>
          <w:sz w:val="22"/>
          <w:szCs w:val="22"/>
        </w:rPr>
        <w:t>mikro a nanoelektronika,</w:t>
      </w:r>
    </w:p>
    <w:p w14:paraId="0AA62015" w14:textId="77777777" w:rsidR="00C041DE" w:rsidRPr="00C041DE" w:rsidRDefault="00C041DE" w:rsidP="00D10F0D">
      <w:pPr>
        <w:pStyle w:val="Default"/>
        <w:numPr>
          <w:ilvl w:val="0"/>
          <w:numId w:val="9"/>
        </w:numPr>
        <w:spacing w:before="0" w:after="0" w:line="240" w:lineRule="auto"/>
        <w:rPr>
          <w:rFonts w:asciiTheme="majorHAnsi" w:hAnsiTheme="majorHAnsi" w:cstheme="majorHAnsi"/>
          <w:sz w:val="22"/>
          <w:szCs w:val="22"/>
        </w:rPr>
      </w:pPr>
      <w:r w:rsidRPr="00C041DE">
        <w:rPr>
          <w:rFonts w:asciiTheme="majorHAnsi" w:hAnsiTheme="majorHAnsi" w:cstheme="majorHAnsi"/>
          <w:sz w:val="22"/>
          <w:szCs w:val="22"/>
        </w:rPr>
        <w:t>fotonika,</w:t>
      </w:r>
    </w:p>
    <w:p w14:paraId="22298818" w14:textId="77777777" w:rsidR="00C041DE" w:rsidRPr="00C041DE" w:rsidRDefault="00C041DE" w:rsidP="00D10F0D">
      <w:pPr>
        <w:pStyle w:val="Default"/>
        <w:numPr>
          <w:ilvl w:val="0"/>
          <w:numId w:val="9"/>
        </w:numPr>
        <w:spacing w:before="0" w:after="0" w:line="240" w:lineRule="auto"/>
        <w:rPr>
          <w:rFonts w:asciiTheme="majorHAnsi" w:hAnsiTheme="majorHAnsi" w:cstheme="majorHAnsi"/>
          <w:sz w:val="22"/>
          <w:szCs w:val="22"/>
        </w:rPr>
      </w:pPr>
      <w:r w:rsidRPr="00C041DE">
        <w:rPr>
          <w:rFonts w:asciiTheme="majorHAnsi" w:hAnsiTheme="majorHAnsi" w:cstheme="majorHAnsi"/>
          <w:sz w:val="22"/>
          <w:szCs w:val="22"/>
        </w:rPr>
        <w:t>pokročilé výrobní technologie,</w:t>
      </w:r>
    </w:p>
    <w:p w14:paraId="2E56B89E" w14:textId="77777777" w:rsidR="00C041DE" w:rsidRPr="00C041DE" w:rsidRDefault="00C041DE" w:rsidP="00D10F0D">
      <w:pPr>
        <w:pStyle w:val="Default"/>
        <w:numPr>
          <w:ilvl w:val="0"/>
          <w:numId w:val="10"/>
        </w:numPr>
        <w:spacing w:before="0" w:after="0" w:line="240" w:lineRule="auto"/>
        <w:rPr>
          <w:rFonts w:asciiTheme="majorHAnsi" w:hAnsiTheme="majorHAnsi" w:cstheme="majorHAnsi"/>
          <w:sz w:val="22"/>
          <w:szCs w:val="22"/>
        </w:rPr>
      </w:pPr>
      <w:r w:rsidRPr="00C041DE">
        <w:rPr>
          <w:rFonts w:asciiTheme="majorHAnsi" w:hAnsiTheme="majorHAnsi" w:cstheme="majorHAnsi"/>
          <w:sz w:val="22"/>
          <w:szCs w:val="22"/>
        </w:rPr>
        <w:t>průmyslové biotechnologie.</w:t>
      </w:r>
    </w:p>
    <w:p w14:paraId="4FF54C34" w14:textId="77777777" w:rsidR="00A806AB" w:rsidRDefault="00C64D75" w:rsidP="00820BC7">
      <w:pPr>
        <w:pStyle w:val="Default"/>
        <w:jc w:val="both"/>
        <w:rPr>
          <w:rFonts w:asciiTheme="majorHAnsi" w:hAnsiTheme="majorHAnsi" w:cstheme="majorHAnsi"/>
          <w:sz w:val="22"/>
          <w:szCs w:val="22"/>
        </w:rPr>
      </w:pPr>
      <w:r>
        <w:rPr>
          <w:rFonts w:asciiTheme="majorHAnsi" w:hAnsiTheme="majorHAnsi" w:cstheme="majorHAnsi"/>
          <w:sz w:val="22"/>
          <w:szCs w:val="22"/>
        </w:rPr>
        <w:t>Tím, že</w:t>
      </w:r>
      <w:r w:rsidR="00C041DE" w:rsidRPr="00C041DE">
        <w:rPr>
          <w:rFonts w:asciiTheme="majorHAnsi" w:hAnsiTheme="majorHAnsi" w:cstheme="majorHAnsi"/>
          <w:sz w:val="22"/>
          <w:szCs w:val="22"/>
        </w:rPr>
        <w:t xml:space="preserve"> klíčov</w:t>
      </w:r>
      <w:r>
        <w:rPr>
          <w:rFonts w:asciiTheme="majorHAnsi" w:hAnsiTheme="majorHAnsi" w:cstheme="majorHAnsi"/>
          <w:sz w:val="22"/>
          <w:szCs w:val="22"/>
        </w:rPr>
        <w:t>é</w:t>
      </w:r>
      <w:r w:rsidR="00C041DE" w:rsidRPr="00C041DE">
        <w:rPr>
          <w:rFonts w:asciiTheme="majorHAnsi" w:hAnsiTheme="majorHAnsi" w:cstheme="majorHAnsi"/>
          <w:sz w:val="22"/>
          <w:szCs w:val="22"/>
        </w:rPr>
        <w:t xml:space="preserve"> technologi</w:t>
      </w:r>
      <w:r>
        <w:rPr>
          <w:rFonts w:asciiTheme="majorHAnsi" w:hAnsiTheme="majorHAnsi" w:cstheme="majorHAnsi"/>
          <w:sz w:val="22"/>
          <w:szCs w:val="22"/>
        </w:rPr>
        <w:t>e</w:t>
      </w:r>
      <w:r w:rsidR="00C041DE" w:rsidRPr="00C041DE">
        <w:rPr>
          <w:rFonts w:asciiTheme="majorHAnsi" w:hAnsiTheme="majorHAnsi" w:cstheme="majorHAnsi"/>
          <w:sz w:val="22"/>
          <w:szCs w:val="22"/>
        </w:rPr>
        <w:t xml:space="preserve"> KETs, uveden</w:t>
      </w:r>
      <w:r>
        <w:rPr>
          <w:rFonts w:asciiTheme="majorHAnsi" w:hAnsiTheme="majorHAnsi" w:cstheme="majorHAnsi"/>
          <w:sz w:val="22"/>
          <w:szCs w:val="22"/>
        </w:rPr>
        <w:t>é</w:t>
      </w:r>
      <w:r w:rsidR="00C041DE" w:rsidRPr="00C041DE">
        <w:rPr>
          <w:rFonts w:asciiTheme="majorHAnsi" w:hAnsiTheme="majorHAnsi" w:cstheme="majorHAnsi"/>
          <w:sz w:val="22"/>
          <w:szCs w:val="22"/>
        </w:rPr>
        <w:t xml:space="preserve"> ve Sdělení </w:t>
      </w:r>
      <w:r w:rsidR="00EF2896">
        <w:rPr>
          <w:rFonts w:asciiTheme="majorHAnsi" w:hAnsiTheme="majorHAnsi" w:cstheme="majorHAnsi"/>
          <w:sz w:val="22"/>
          <w:szCs w:val="22"/>
        </w:rPr>
        <w:t>K</w:t>
      </w:r>
      <w:r w:rsidR="00C041DE" w:rsidRPr="00C041DE">
        <w:rPr>
          <w:rFonts w:asciiTheme="majorHAnsi" w:hAnsiTheme="majorHAnsi" w:cstheme="majorHAnsi"/>
          <w:sz w:val="22"/>
          <w:szCs w:val="22"/>
        </w:rPr>
        <w:t>omise, byl</w:t>
      </w:r>
      <w:r>
        <w:rPr>
          <w:rFonts w:asciiTheme="majorHAnsi" w:hAnsiTheme="majorHAnsi" w:cstheme="majorHAnsi"/>
          <w:sz w:val="22"/>
          <w:szCs w:val="22"/>
        </w:rPr>
        <w:t>y</w:t>
      </w:r>
      <w:r w:rsidR="00C041DE" w:rsidRPr="00C041DE">
        <w:rPr>
          <w:rFonts w:asciiTheme="majorHAnsi" w:hAnsiTheme="majorHAnsi" w:cstheme="majorHAnsi"/>
          <w:sz w:val="22"/>
          <w:szCs w:val="22"/>
        </w:rPr>
        <w:t xml:space="preserve"> v podmínkách ČR interpretován</w:t>
      </w:r>
      <w:r>
        <w:rPr>
          <w:rFonts w:asciiTheme="majorHAnsi" w:hAnsiTheme="majorHAnsi" w:cstheme="majorHAnsi"/>
          <w:sz w:val="22"/>
          <w:szCs w:val="22"/>
        </w:rPr>
        <w:t>y</w:t>
      </w:r>
      <w:r w:rsidR="00C041DE" w:rsidRPr="00C041DE">
        <w:rPr>
          <w:rFonts w:asciiTheme="majorHAnsi" w:hAnsiTheme="majorHAnsi" w:cstheme="majorHAnsi"/>
          <w:sz w:val="22"/>
          <w:szCs w:val="22"/>
        </w:rPr>
        <w:t xml:space="preserve"> jako </w:t>
      </w:r>
      <w:r w:rsidR="00A51508">
        <w:rPr>
          <w:rFonts w:asciiTheme="majorHAnsi" w:hAnsiTheme="majorHAnsi" w:cstheme="majorHAnsi"/>
          <w:sz w:val="22"/>
          <w:szCs w:val="22"/>
        </w:rPr>
        <w:t xml:space="preserve">technologické </w:t>
      </w:r>
      <w:r w:rsidR="00C041DE" w:rsidRPr="00C041DE">
        <w:rPr>
          <w:rFonts w:asciiTheme="majorHAnsi" w:hAnsiTheme="majorHAnsi" w:cstheme="majorHAnsi"/>
          <w:sz w:val="22"/>
          <w:szCs w:val="22"/>
        </w:rPr>
        <w:t>znalostní domény</w:t>
      </w:r>
      <w:r w:rsidR="00A51508">
        <w:rPr>
          <w:rFonts w:asciiTheme="majorHAnsi" w:hAnsiTheme="majorHAnsi" w:cstheme="majorHAnsi"/>
          <w:sz w:val="22"/>
          <w:szCs w:val="22"/>
        </w:rPr>
        <w:t>, tak</w:t>
      </w:r>
      <w:r>
        <w:rPr>
          <w:rFonts w:asciiTheme="majorHAnsi" w:hAnsiTheme="majorHAnsi" w:cstheme="majorHAnsi"/>
          <w:sz w:val="22"/>
          <w:szCs w:val="22"/>
        </w:rPr>
        <w:t xml:space="preserve"> se podařilo</w:t>
      </w:r>
      <w:r w:rsidR="00C041DE" w:rsidRPr="00C041DE">
        <w:rPr>
          <w:rFonts w:asciiTheme="majorHAnsi" w:hAnsiTheme="majorHAnsi" w:cstheme="majorHAnsi"/>
          <w:sz w:val="22"/>
          <w:szCs w:val="22"/>
        </w:rPr>
        <w:t xml:space="preserve"> </w:t>
      </w:r>
      <w:r>
        <w:rPr>
          <w:rFonts w:asciiTheme="majorHAnsi" w:hAnsiTheme="majorHAnsi" w:cstheme="majorHAnsi"/>
          <w:sz w:val="22"/>
          <w:szCs w:val="22"/>
        </w:rPr>
        <w:t xml:space="preserve">rozšířit </w:t>
      </w:r>
      <w:r w:rsidR="00C041DE" w:rsidRPr="00C041DE">
        <w:rPr>
          <w:rFonts w:asciiTheme="majorHAnsi" w:hAnsiTheme="majorHAnsi" w:cstheme="majorHAnsi"/>
          <w:sz w:val="22"/>
          <w:szCs w:val="22"/>
        </w:rPr>
        <w:t xml:space="preserve">zaměření </w:t>
      </w:r>
      <w:r w:rsidR="00092EC1">
        <w:rPr>
          <w:rFonts w:asciiTheme="majorHAnsi" w:hAnsiTheme="majorHAnsi" w:cstheme="majorHAnsi"/>
          <w:sz w:val="22"/>
          <w:szCs w:val="22"/>
        </w:rPr>
        <w:t xml:space="preserve">Národní </w:t>
      </w:r>
      <w:r w:rsidR="00C041DE" w:rsidRPr="00C041DE">
        <w:rPr>
          <w:rFonts w:asciiTheme="majorHAnsi" w:hAnsiTheme="majorHAnsi" w:cstheme="majorHAnsi"/>
          <w:sz w:val="22"/>
          <w:szCs w:val="22"/>
        </w:rPr>
        <w:t xml:space="preserve">RIS3 </w:t>
      </w:r>
      <w:r w:rsidR="00092EC1">
        <w:rPr>
          <w:rFonts w:asciiTheme="majorHAnsi" w:hAnsiTheme="majorHAnsi" w:cstheme="majorHAnsi"/>
          <w:sz w:val="22"/>
          <w:szCs w:val="22"/>
        </w:rPr>
        <w:t xml:space="preserve">strategie </w:t>
      </w:r>
      <w:r>
        <w:rPr>
          <w:rFonts w:asciiTheme="majorHAnsi" w:hAnsiTheme="majorHAnsi" w:cstheme="majorHAnsi"/>
          <w:sz w:val="22"/>
          <w:szCs w:val="22"/>
        </w:rPr>
        <w:t xml:space="preserve">nejen </w:t>
      </w:r>
      <w:r w:rsidR="00C041DE" w:rsidRPr="00C041DE">
        <w:rPr>
          <w:rFonts w:asciiTheme="majorHAnsi" w:hAnsiTheme="majorHAnsi" w:cstheme="majorHAnsi"/>
          <w:sz w:val="22"/>
          <w:szCs w:val="22"/>
        </w:rPr>
        <w:t xml:space="preserve">na </w:t>
      </w:r>
      <w:r w:rsidR="00C041DE" w:rsidRPr="00C041DE">
        <w:rPr>
          <w:rFonts w:asciiTheme="majorHAnsi" w:hAnsiTheme="majorHAnsi" w:cstheme="majorHAnsi"/>
          <w:i/>
          <w:sz w:val="22"/>
          <w:szCs w:val="22"/>
        </w:rPr>
        <w:t xml:space="preserve">technologie náročné na znalosti a spojené s intenzivním VaV a rychlými inovačními cykly, vysokými kapitálovými náklady a vysoce </w:t>
      </w:r>
      <w:r w:rsidR="00092EC1">
        <w:rPr>
          <w:rFonts w:asciiTheme="majorHAnsi" w:hAnsiTheme="majorHAnsi" w:cstheme="majorHAnsi"/>
          <w:i/>
          <w:sz w:val="22"/>
          <w:szCs w:val="22"/>
        </w:rPr>
        <w:t>kvalifikovanými pracovními míst</w:t>
      </w:r>
      <w:r w:rsidR="00A177D7">
        <w:rPr>
          <w:rFonts w:asciiTheme="majorHAnsi" w:hAnsiTheme="majorHAnsi" w:cstheme="majorHAnsi"/>
          <w:i/>
          <w:sz w:val="22"/>
          <w:szCs w:val="22"/>
        </w:rPr>
        <w:t>y</w:t>
      </w:r>
      <w:r w:rsidR="00092EC1">
        <w:rPr>
          <w:rStyle w:val="Znakapoznpodarou"/>
          <w:rFonts w:asciiTheme="majorHAnsi" w:hAnsiTheme="majorHAnsi" w:cstheme="majorHAnsi"/>
          <w:i/>
          <w:sz w:val="22"/>
          <w:szCs w:val="22"/>
        </w:rPr>
        <w:footnoteReference w:id="28"/>
      </w:r>
      <w:r>
        <w:rPr>
          <w:rFonts w:asciiTheme="majorHAnsi" w:hAnsiTheme="majorHAnsi" w:cstheme="majorHAnsi"/>
          <w:i/>
          <w:sz w:val="22"/>
          <w:szCs w:val="22"/>
        </w:rPr>
        <w:t>,</w:t>
      </w:r>
      <w:r>
        <w:rPr>
          <w:rFonts w:asciiTheme="majorHAnsi" w:hAnsiTheme="majorHAnsi" w:cstheme="majorHAnsi"/>
          <w:sz w:val="22"/>
          <w:szCs w:val="22"/>
        </w:rPr>
        <w:t xml:space="preserve"> ale i na tzv.</w:t>
      </w:r>
      <w:r w:rsidR="00C041DE">
        <w:rPr>
          <w:rFonts w:asciiTheme="majorHAnsi" w:hAnsiTheme="majorHAnsi" w:cstheme="majorHAnsi"/>
          <w:sz w:val="22"/>
          <w:szCs w:val="22"/>
        </w:rPr>
        <w:t xml:space="preserve"> </w:t>
      </w:r>
      <w:r w:rsidR="00C041DE" w:rsidRPr="00C041DE">
        <w:rPr>
          <w:rFonts w:asciiTheme="majorHAnsi" w:hAnsiTheme="majorHAnsi" w:cstheme="majorHAnsi"/>
          <w:b/>
          <w:sz w:val="22"/>
          <w:szCs w:val="22"/>
        </w:rPr>
        <w:t>netechnologické znalostní domény</w:t>
      </w:r>
      <w:r w:rsidR="00C041DE">
        <w:rPr>
          <w:rFonts w:asciiTheme="majorHAnsi" w:hAnsiTheme="majorHAnsi" w:cstheme="majorHAnsi"/>
          <w:sz w:val="22"/>
          <w:szCs w:val="22"/>
        </w:rPr>
        <w:t xml:space="preserve"> </w:t>
      </w:r>
      <w:r w:rsidR="00C041DE" w:rsidRPr="00C041DE">
        <w:rPr>
          <w:rFonts w:asciiTheme="majorHAnsi" w:hAnsiTheme="majorHAnsi" w:cstheme="majorHAnsi"/>
          <w:sz w:val="22"/>
          <w:szCs w:val="22"/>
        </w:rPr>
        <w:t>a zahrnout také:</w:t>
      </w:r>
      <w:r w:rsidR="00820BC7">
        <w:rPr>
          <w:rFonts w:asciiTheme="majorHAnsi" w:hAnsiTheme="majorHAnsi" w:cstheme="majorHAnsi"/>
          <w:sz w:val="22"/>
          <w:szCs w:val="22"/>
        </w:rPr>
        <w:t xml:space="preserve"> </w:t>
      </w:r>
      <w:r w:rsidR="00C041DE" w:rsidRPr="00C041DE">
        <w:rPr>
          <w:rFonts w:asciiTheme="majorHAnsi" w:hAnsiTheme="majorHAnsi" w:cstheme="majorHAnsi"/>
          <w:sz w:val="22"/>
          <w:szCs w:val="22"/>
        </w:rPr>
        <w:t>společenskovědní znalosti n</w:t>
      </w:r>
      <w:r w:rsidR="00820BC7">
        <w:rPr>
          <w:rFonts w:asciiTheme="majorHAnsi" w:hAnsiTheme="majorHAnsi" w:cstheme="majorHAnsi"/>
          <w:sz w:val="22"/>
          <w:szCs w:val="22"/>
        </w:rPr>
        <w:t xml:space="preserve">ezbytné pro netechnické inovace; </w:t>
      </w:r>
      <w:r w:rsidR="00C041DE" w:rsidRPr="00C041DE">
        <w:rPr>
          <w:rFonts w:asciiTheme="majorHAnsi" w:hAnsiTheme="majorHAnsi" w:cstheme="majorHAnsi"/>
          <w:sz w:val="22"/>
          <w:szCs w:val="22"/>
        </w:rPr>
        <w:t>znalosti pro digitální ekonomiku a kulturní a kreativní průmysly.</w:t>
      </w:r>
    </w:p>
    <w:p w14:paraId="4B82EAC6" w14:textId="32D676A8" w:rsidR="00820BC7" w:rsidRDefault="00820BC7" w:rsidP="00DE1311">
      <w:pPr>
        <w:rPr>
          <w:rFonts w:cs="Arial-ItalicMT"/>
          <w:b/>
          <w:iCs/>
          <w:szCs w:val="22"/>
        </w:rPr>
      </w:pPr>
      <w:r>
        <w:rPr>
          <w:lang w:bidi="ar-SA"/>
        </w:rPr>
        <w:t xml:space="preserve">Aktuální struktura a dikce národních domén výzkumné specializace je uvedena v následující tabulce. </w:t>
      </w:r>
    </w:p>
    <w:p w14:paraId="62E518E7" w14:textId="77777777" w:rsidR="00DE1311" w:rsidRDefault="00DE1311">
      <w:pPr>
        <w:spacing w:before="0" w:after="0" w:line="240" w:lineRule="auto"/>
        <w:jc w:val="left"/>
        <w:rPr>
          <w:rFonts w:cs="Arial-ItalicMT"/>
          <w:b/>
          <w:iCs/>
          <w:szCs w:val="22"/>
        </w:rPr>
      </w:pPr>
      <w:bookmarkStart w:id="44" w:name="_Toc5626518"/>
      <w:r>
        <w:rPr>
          <w:rFonts w:cs="Arial-ItalicMT"/>
          <w:b/>
          <w:iCs/>
          <w:szCs w:val="22"/>
        </w:rPr>
        <w:br w:type="page"/>
      </w:r>
    </w:p>
    <w:p w14:paraId="78758A3D" w14:textId="6892CD91" w:rsidR="00A177D7" w:rsidRPr="00553EFF" w:rsidRDefault="00A177D7" w:rsidP="00A177D7">
      <w:pPr>
        <w:spacing w:after="0"/>
        <w:rPr>
          <w:i/>
        </w:rPr>
      </w:pPr>
      <w:r w:rsidRPr="00C64D59">
        <w:rPr>
          <w:rFonts w:cs="Arial-ItalicMT"/>
          <w:b/>
          <w:iCs/>
          <w:szCs w:val="22"/>
        </w:rPr>
        <w:lastRenderedPageBreak/>
        <w:t xml:space="preserve">Tabulka č. </w:t>
      </w:r>
      <w:r w:rsidR="008A090D" w:rsidRPr="00C64D59">
        <w:rPr>
          <w:rFonts w:cs="Arial-ItalicMT"/>
          <w:b/>
          <w:iCs/>
          <w:szCs w:val="22"/>
        </w:rPr>
        <w:fldChar w:fldCharType="begin"/>
      </w:r>
      <w:r w:rsidRPr="00C64D59">
        <w:rPr>
          <w:rFonts w:cs="Arial-ItalicMT"/>
          <w:b/>
          <w:iCs/>
          <w:szCs w:val="22"/>
        </w:rPr>
        <w:instrText xml:space="preserve"> SEQ Tabulka_č._ \* ARABIC </w:instrText>
      </w:r>
      <w:r w:rsidR="008A090D" w:rsidRPr="00C64D59">
        <w:rPr>
          <w:rFonts w:cs="Arial-ItalicMT"/>
          <w:b/>
          <w:iCs/>
          <w:szCs w:val="22"/>
        </w:rPr>
        <w:fldChar w:fldCharType="separate"/>
      </w:r>
      <w:r w:rsidR="002309D5">
        <w:rPr>
          <w:rFonts w:cs="Arial-ItalicMT"/>
          <w:b/>
          <w:iCs/>
          <w:noProof/>
          <w:szCs w:val="22"/>
        </w:rPr>
        <w:t>9</w:t>
      </w:r>
      <w:r w:rsidR="008A090D" w:rsidRPr="00C64D59">
        <w:rPr>
          <w:rFonts w:cs="Arial-ItalicMT"/>
          <w:b/>
          <w:iCs/>
          <w:szCs w:val="22"/>
        </w:rPr>
        <w:fldChar w:fldCharType="end"/>
      </w:r>
      <w:r w:rsidRPr="00C64D59">
        <w:rPr>
          <w:rFonts w:cs="Arial-ItalicMT"/>
          <w:b/>
          <w:iCs/>
          <w:szCs w:val="22"/>
        </w:rPr>
        <w:t xml:space="preserve"> -</w:t>
      </w:r>
      <w:r w:rsidRPr="00D66402">
        <w:rPr>
          <w:rFonts w:cs="Arial-ItalicMT"/>
          <w:iCs/>
          <w:szCs w:val="22"/>
        </w:rPr>
        <w:t xml:space="preserve"> </w:t>
      </w:r>
      <w:r>
        <w:rPr>
          <w:i/>
        </w:rPr>
        <w:t>Národní domény výzkumné specializace</w:t>
      </w:r>
      <w:bookmarkEnd w:id="44"/>
    </w:p>
    <w:tbl>
      <w:tblPr>
        <w:tblStyle w:val="Svtlseznamzvraznn12"/>
        <w:tblW w:w="9214"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3544"/>
        <w:gridCol w:w="5670"/>
      </w:tblGrid>
      <w:tr w:rsidR="00A177D7" w:rsidRPr="00BB05CE" w14:paraId="0B673E05" w14:textId="77777777" w:rsidTr="00A177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gridSpan w:val="2"/>
            <w:vAlign w:val="center"/>
          </w:tcPr>
          <w:p w14:paraId="50453DF8" w14:textId="77777777" w:rsidR="00A177D7" w:rsidRPr="00BB05CE" w:rsidRDefault="00A177D7" w:rsidP="00A177D7">
            <w:pPr>
              <w:spacing w:before="120" w:after="120" w:line="240" w:lineRule="auto"/>
              <w:jc w:val="center"/>
              <w:rPr>
                <w:rFonts w:asciiTheme="majorHAnsi" w:hAnsiTheme="majorHAnsi" w:cstheme="majorHAnsi"/>
              </w:rPr>
            </w:pPr>
            <w:r>
              <w:rPr>
                <w:rFonts w:asciiTheme="majorHAnsi" w:hAnsiTheme="majorHAnsi" w:cstheme="majorHAnsi"/>
              </w:rPr>
              <w:t>Národní domény výzkumné specializace</w:t>
            </w:r>
          </w:p>
        </w:tc>
      </w:tr>
      <w:tr w:rsidR="00A177D7" w:rsidRPr="00476621" w14:paraId="5740427F" w14:textId="77777777" w:rsidTr="00A177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vMerge w:val="restart"/>
            <w:shd w:val="clear" w:color="auto" w:fill="auto"/>
            <w:vAlign w:val="center"/>
          </w:tcPr>
          <w:p w14:paraId="12C30103" w14:textId="77777777" w:rsidR="00A177D7" w:rsidRPr="00476621" w:rsidRDefault="00A177D7" w:rsidP="00A177D7">
            <w:pPr>
              <w:spacing w:before="0" w:after="0" w:line="240" w:lineRule="auto"/>
              <w:jc w:val="left"/>
              <w:rPr>
                <w:rFonts w:cs="Calibri"/>
                <w:b w:val="0"/>
              </w:rPr>
            </w:pPr>
            <w:r>
              <w:rPr>
                <w:rFonts w:cs="Calibri"/>
                <w:b w:val="0"/>
              </w:rPr>
              <w:t>Technologické znalostní domény</w:t>
            </w:r>
          </w:p>
        </w:tc>
        <w:tc>
          <w:tcPr>
            <w:tcW w:w="5670" w:type="dxa"/>
            <w:shd w:val="clear" w:color="auto" w:fill="auto"/>
          </w:tcPr>
          <w:p w14:paraId="5E0A9699" w14:textId="77777777" w:rsidR="00A177D7" w:rsidRPr="00553EFF" w:rsidRDefault="00A177D7" w:rsidP="00A177D7">
            <w:pPr>
              <w:spacing w:before="0" w:after="0" w:line="240" w:lineRule="auto"/>
              <w:ind w:left="34"/>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Pokročilé materiály</w:t>
            </w:r>
          </w:p>
        </w:tc>
      </w:tr>
      <w:tr w:rsidR="00A177D7" w:rsidRPr="00E37DFD" w14:paraId="080EBECE" w14:textId="77777777" w:rsidTr="00A177D7">
        <w:tc>
          <w:tcPr>
            <w:cnfStyle w:val="001000000000" w:firstRow="0" w:lastRow="0" w:firstColumn="1" w:lastColumn="0" w:oddVBand="0" w:evenVBand="0" w:oddHBand="0" w:evenHBand="0" w:firstRowFirstColumn="0" w:firstRowLastColumn="0" w:lastRowFirstColumn="0" w:lastRowLastColumn="0"/>
            <w:tcW w:w="3544" w:type="dxa"/>
            <w:vMerge/>
            <w:shd w:val="clear" w:color="auto" w:fill="auto"/>
          </w:tcPr>
          <w:p w14:paraId="5743F6F3" w14:textId="77777777" w:rsidR="00A177D7" w:rsidRPr="00E37DFD" w:rsidRDefault="00A177D7" w:rsidP="00A177D7">
            <w:pPr>
              <w:spacing w:before="0" w:after="0" w:line="240" w:lineRule="auto"/>
              <w:jc w:val="left"/>
              <w:rPr>
                <w:rFonts w:cs="Calibri"/>
                <w:b w:val="0"/>
              </w:rPr>
            </w:pPr>
          </w:p>
        </w:tc>
        <w:tc>
          <w:tcPr>
            <w:tcW w:w="5670" w:type="dxa"/>
            <w:shd w:val="clear" w:color="auto" w:fill="auto"/>
          </w:tcPr>
          <w:p w14:paraId="6565A8EF" w14:textId="77777777" w:rsidR="00A177D7" w:rsidRPr="00553EFF" w:rsidRDefault="00A177D7" w:rsidP="00A177D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Nanotechnologie</w:t>
            </w:r>
          </w:p>
        </w:tc>
      </w:tr>
      <w:tr w:rsidR="00A177D7" w:rsidRPr="00476621" w14:paraId="4A7449C5" w14:textId="77777777" w:rsidTr="00A177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vMerge/>
            <w:shd w:val="clear" w:color="auto" w:fill="auto"/>
          </w:tcPr>
          <w:p w14:paraId="38BAA07B" w14:textId="77777777" w:rsidR="00A177D7" w:rsidRPr="00476621" w:rsidRDefault="00A177D7" w:rsidP="00A177D7">
            <w:pPr>
              <w:spacing w:before="0" w:after="0" w:line="240" w:lineRule="auto"/>
              <w:jc w:val="left"/>
              <w:rPr>
                <w:rFonts w:cs="Calibri"/>
                <w:b w:val="0"/>
              </w:rPr>
            </w:pPr>
          </w:p>
        </w:tc>
        <w:tc>
          <w:tcPr>
            <w:tcW w:w="5670" w:type="dxa"/>
            <w:shd w:val="clear" w:color="auto" w:fill="auto"/>
          </w:tcPr>
          <w:p w14:paraId="6AAB58A3" w14:textId="77777777" w:rsidR="00A177D7" w:rsidRPr="00553EFF" w:rsidRDefault="00A177D7" w:rsidP="00A177D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Mikro a nanoelektronika</w:t>
            </w:r>
          </w:p>
        </w:tc>
      </w:tr>
      <w:tr w:rsidR="00A177D7" w:rsidRPr="00476621" w14:paraId="13E033DF" w14:textId="77777777" w:rsidTr="00A177D7">
        <w:tc>
          <w:tcPr>
            <w:cnfStyle w:val="001000000000" w:firstRow="0" w:lastRow="0" w:firstColumn="1" w:lastColumn="0" w:oddVBand="0" w:evenVBand="0" w:oddHBand="0" w:evenHBand="0" w:firstRowFirstColumn="0" w:firstRowLastColumn="0" w:lastRowFirstColumn="0" w:lastRowLastColumn="0"/>
            <w:tcW w:w="3544" w:type="dxa"/>
            <w:vMerge/>
            <w:shd w:val="clear" w:color="auto" w:fill="auto"/>
          </w:tcPr>
          <w:p w14:paraId="6A3EDB43" w14:textId="77777777" w:rsidR="00A177D7" w:rsidRPr="00476621" w:rsidRDefault="00A177D7" w:rsidP="00A177D7">
            <w:pPr>
              <w:spacing w:before="0" w:after="0" w:line="240" w:lineRule="auto"/>
              <w:jc w:val="left"/>
              <w:rPr>
                <w:rFonts w:cs="Calibri"/>
                <w:b w:val="0"/>
              </w:rPr>
            </w:pPr>
          </w:p>
        </w:tc>
        <w:tc>
          <w:tcPr>
            <w:tcW w:w="5670" w:type="dxa"/>
            <w:shd w:val="clear" w:color="auto" w:fill="auto"/>
          </w:tcPr>
          <w:p w14:paraId="086E8B3C" w14:textId="77777777" w:rsidR="00A177D7" w:rsidRDefault="00A177D7" w:rsidP="00A177D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Pokročilé výrobní technologie</w:t>
            </w:r>
          </w:p>
        </w:tc>
      </w:tr>
      <w:tr w:rsidR="00A177D7" w:rsidRPr="00476621" w14:paraId="0F45E6B4" w14:textId="77777777" w:rsidTr="00A177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vMerge/>
            <w:shd w:val="clear" w:color="auto" w:fill="auto"/>
          </w:tcPr>
          <w:p w14:paraId="1B32B8E5" w14:textId="77777777" w:rsidR="00A177D7" w:rsidRPr="00476621" w:rsidRDefault="00A177D7" w:rsidP="00A177D7">
            <w:pPr>
              <w:spacing w:before="0" w:after="0" w:line="240" w:lineRule="auto"/>
              <w:jc w:val="left"/>
              <w:rPr>
                <w:rFonts w:cs="Calibri"/>
                <w:b w:val="0"/>
              </w:rPr>
            </w:pPr>
          </w:p>
        </w:tc>
        <w:tc>
          <w:tcPr>
            <w:tcW w:w="5670" w:type="dxa"/>
            <w:shd w:val="clear" w:color="auto" w:fill="auto"/>
          </w:tcPr>
          <w:p w14:paraId="03EBFC97" w14:textId="77777777" w:rsidR="00A177D7" w:rsidRDefault="00A177D7" w:rsidP="00A177D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Fotonika</w:t>
            </w:r>
          </w:p>
        </w:tc>
      </w:tr>
      <w:tr w:rsidR="00A177D7" w:rsidRPr="00476621" w14:paraId="3432A67F" w14:textId="77777777" w:rsidTr="00A177D7">
        <w:tc>
          <w:tcPr>
            <w:cnfStyle w:val="001000000000" w:firstRow="0" w:lastRow="0" w:firstColumn="1" w:lastColumn="0" w:oddVBand="0" w:evenVBand="0" w:oddHBand="0" w:evenHBand="0" w:firstRowFirstColumn="0" w:firstRowLastColumn="0" w:lastRowFirstColumn="0" w:lastRowLastColumn="0"/>
            <w:tcW w:w="3544" w:type="dxa"/>
            <w:vMerge/>
            <w:shd w:val="clear" w:color="auto" w:fill="auto"/>
          </w:tcPr>
          <w:p w14:paraId="07B04390" w14:textId="77777777" w:rsidR="00A177D7" w:rsidRPr="00BB05CE" w:rsidRDefault="00A177D7" w:rsidP="00A177D7">
            <w:pPr>
              <w:spacing w:before="0" w:after="0" w:line="240" w:lineRule="auto"/>
              <w:jc w:val="left"/>
              <w:rPr>
                <w:rFonts w:cs="Calibri"/>
                <w:b w:val="0"/>
              </w:rPr>
            </w:pPr>
          </w:p>
        </w:tc>
        <w:tc>
          <w:tcPr>
            <w:tcW w:w="5670" w:type="dxa"/>
            <w:shd w:val="clear" w:color="auto" w:fill="auto"/>
          </w:tcPr>
          <w:p w14:paraId="101C9952" w14:textId="77777777" w:rsidR="00A177D7" w:rsidRPr="00553EFF" w:rsidRDefault="00A177D7" w:rsidP="00A177D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Průmyslová biotechnologie</w:t>
            </w:r>
          </w:p>
        </w:tc>
      </w:tr>
      <w:tr w:rsidR="00A177D7" w:rsidRPr="00476621" w14:paraId="15F7CDAE" w14:textId="77777777" w:rsidTr="00A177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vMerge w:val="restart"/>
            <w:shd w:val="clear" w:color="auto" w:fill="auto"/>
            <w:vAlign w:val="center"/>
          </w:tcPr>
          <w:p w14:paraId="162A2976" w14:textId="77777777" w:rsidR="00A177D7" w:rsidRPr="00D60D76" w:rsidRDefault="00A177D7" w:rsidP="00A177D7">
            <w:pPr>
              <w:spacing w:before="0" w:after="0" w:line="240" w:lineRule="auto"/>
              <w:jc w:val="left"/>
              <w:rPr>
                <w:rFonts w:cs="Calibri"/>
                <w:b w:val="0"/>
              </w:rPr>
            </w:pPr>
            <w:r>
              <w:rPr>
                <w:rFonts w:cs="Calibri"/>
                <w:b w:val="0"/>
              </w:rPr>
              <w:t>Netechnologické znalostní domény</w:t>
            </w:r>
          </w:p>
        </w:tc>
        <w:tc>
          <w:tcPr>
            <w:tcW w:w="5670" w:type="dxa"/>
            <w:shd w:val="clear" w:color="auto" w:fill="auto"/>
          </w:tcPr>
          <w:p w14:paraId="6A8546BE" w14:textId="77777777" w:rsidR="00A177D7" w:rsidRPr="00553EFF" w:rsidRDefault="00A177D7" w:rsidP="00A177D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Znalosti pro digitální ekonomiku, kulturní a kreativní odvětví</w:t>
            </w:r>
          </w:p>
        </w:tc>
      </w:tr>
      <w:tr w:rsidR="00A177D7" w:rsidRPr="00476621" w14:paraId="58D13A97" w14:textId="77777777" w:rsidTr="00A177D7">
        <w:tc>
          <w:tcPr>
            <w:cnfStyle w:val="001000000000" w:firstRow="0" w:lastRow="0" w:firstColumn="1" w:lastColumn="0" w:oddVBand="0" w:evenVBand="0" w:oddHBand="0" w:evenHBand="0" w:firstRowFirstColumn="0" w:firstRowLastColumn="0" w:lastRowFirstColumn="0" w:lastRowLastColumn="0"/>
            <w:tcW w:w="3544" w:type="dxa"/>
            <w:vMerge/>
            <w:shd w:val="clear" w:color="auto" w:fill="auto"/>
          </w:tcPr>
          <w:p w14:paraId="5E9A39D7" w14:textId="77777777" w:rsidR="00A177D7" w:rsidRPr="00D60D76" w:rsidRDefault="00A177D7" w:rsidP="00A177D7">
            <w:pPr>
              <w:spacing w:before="0" w:after="0" w:line="240" w:lineRule="auto"/>
              <w:jc w:val="left"/>
              <w:rPr>
                <w:rFonts w:cs="Calibri"/>
                <w:b w:val="0"/>
              </w:rPr>
            </w:pPr>
          </w:p>
        </w:tc>
        <w:tc>
          <w:tcPr>
            <w:tcW w:w="5670" w:type="dxa"/>
            <w:shd w:val="clear" w:color="auto" w:fill="auto"/>
          </w:tcPr>
          <w:p w14:paraId="5DA9DEB2" w14:textId="77777777" w:rsidR="00A177D7" w:rsidRPr="00553EFF" w:rsidRDefault="00A177D7" w:rsidP="00A177D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Společenskovědní znalosti pro netechnické inovace</w:t>
            </w:r>
          </w:p>
        </w:tc>
      </w:tr>
    </w:tbl>
    <w:p w14:paraId="6DC18A38" w14:textId="77777777" w:rsidR="00A177D7" w:rsidRPr="00635BE8" w:rsidRDefault="00A177D7" w:rsidP="00A177D7">
      <w:pPr>
        <w:spacing w:before="0"/>
        <w:rPr>
          <w:sz w:val="18"/>
          <w:szCs w:val="18"/>
        </w:rPr>
      </w:pPr>
      <w:r w:rsidRPr="00635BE8">
        <w:rPr>
          <w:sz w:val="18"/>
          <w:szCs w:val="18"/>
        </w:rPr>
        <w:t xml:space="preserve">Zdroj: </w:t>
      </w:r>
      <w:r>
        <w:rPr>
          <w:sz w:val="18"/>
          <w:szCs w:val="18"/>
        </w:rPr>
        <w:t xml:space="preserve">Národní RIS3 strategie </w:t>
      </w:r>
    </w:p>
    <w:p w14:paraId="34E07E9B" w14:textId="77777777" w:rsidR="00A177D7" w:rsidRDefault="00A177D7" w:rsidP="00246ECF">
      <w:pPr>
        <w:rPr>
          <w:lang w:bidi="ar-SA"/>
        </w:rPr>
      </w:pPr>
    </w:p>
    <w:p w14:paraId="2365C851" w14:textId="77777777" w:rsidR="00BF0145" w:rsidRDefault="009B76AF" w:rsidP="00246ECF">
      <w:pPr>
        <w:rPr>
          <w:b/>
          <w:lang w:bidi="ar-SA"/>
        </w:rPr>
      </w:pPr>
      <w:r w:rsidRPr="009B76AF">
        <w:rPr>
          <w:lang w:bidi="ar-SA"/>
        </w:rPr>
        <w:t xml:space="preserve">Jakkoliv od </w:t>
      </w:r>
      <w:r>
        <w:rPr>
          <w:lang w:bidi="ar-SA"/>
        </w:rPr>
        <w:t>publik</w:t>
      </w:r>
      <w:r w:rsidR="00EF2896">
        <w:rPr>
          <w:lang w:bidi="ar-SA"/>
        </w:rPr>
        <w:t>ování</w:t>
      </w:r>
      <w:r>
        <w:rPr>
          <w:lang w:bidi="ar-SA"/>
        </w:rPr>
        <w:t xml:space="preserve"> KETs v roce 2009 uplynulo již 10 let, </w:t>
      </w:r>
      <w:r w:rsidR="006656B6">
        <w:rPr>
          <w:lang w:bidi="ar-SA"/>
        </w:rPr>
        <w:t>S</w:t>
      </w:r>
      <w:r>
        <w:rPr>
          <w:lang w:bidi="ar-SA"/>
        </w:rPr>
        <w:t xml:space="preserve">dělení </w:t>
      </w:r>
      <w:r w:rsidR="006656B6">
        <w:rPr>
          <w:lang w:bidi="ar-SA"/>
        </w:rPr>
        <w:t>K</w:t>
      </w:r>
      <w:r>
        <w:rPr>
          <w:lang w:bidi="ar-SA"/>
        </w:rPr>
        <w:t>omise zůstávají v oblasti klíčových technologií konzistentní (</w:t>
      </w:r>
      <w:r w:rsidR="00C64D75">
        <w:rPr>
          <w:lang w:bidi="ar-SA"/>
        </w:rPr>
        <w:t xml:space="preserve">viz </w:t>
      </w:r>
      <w:r w:rsidRPr="009B76AF">
        <w:rPr>
          <w:lang w:bidi="ar-SA"/>
        </w:rPr>
        <w:t>COM(2014) 14 final</w:t>
      </w:r>
      <w:r>
        <w:rPr>
          <w:lang w:bidi="ar-SA"/>
        </w:rPr>
        <w:t xml:space="preserve"> – Za obnovu evropského průmyslu). </w:t>
      </w:r>
      <w:r w:rsidR="006F04F6">
        <w:rPr>
          <w:lang w:bidi="ar-SA"/>
        </w:rPr>
        <w:t>A</w:t>
      </w:r>
      <w:r>
        <w:rPr>
          <w:lang w:bidi="ar-SA"/>
        </w:rPr>
        <w:t xml:space="preserve">ktuální </w:t>
      </w:r>
      <w:r w:rsidRPr="009B76AF">
        <w:rPr>
          <w:lang w:bidi="ar-SA"/>
        </w:rPr>
        <w:t>Zpráva nezávislé skupiny na vysoké úrovni</w:t>
      </w:r>
      <w:r>
        <w:rPr>
          <w:lang w:bidi="ar-SA"/>
        </w:rPr>
        <w:t xml:space="preserve"> </w:t>
      </w:r>
      <w:r w:rsidRPr="009B76AF">
        <w:rPr>
          <w:lang w:bidi="ar-SA"/>
        </w:rPr>
        <w:t>o průmyslových technologiích</w:t>
      </w:r>
      <w:r w:rsidR="008667BE">
        <w:rPr>
          <w:rStyle w:val="Znakapoznpodarou"/>
          <w:rFonts w:asciiTheme="majorHAnsi" w:eastAsia="Calibri" w:hAnsiTheme="majorHAnsi" w:cstheme="majorHAnsi"/>
          <w:color w:val="000000"/>
          <w:spacing w:val="0"/>
          <w:lang w:bidi="ar-SA"/>
        </w:rPr>
        <w:footnoteReference w:id="29"/>
      </w:r>
      <w:r>
        <w:rPr>
          <w:lang w:bidi="ar-SA"/>
        </w:rPr>
        <w:t xml:space="preserve"> z roku 2018</w:t>
      </w:r>
      <w:r w:rsidR="00086E89">
        <w:rPr>
          <w:lang w:bidi="ar-SA"/>
        </w:rPr>
        <w:t xml:space="preserve"> redefinuje klíčové technologie KETs 4.0 ve třech oblastech</w:t>
      </w:r>
      <w:r w:rsidR="008667BE">
        <w:rPr>
          <w:lang w:bidi="ar-SA"/>
        </w:rPr>
        <w:t xml:space="preserve">, v podstatě korespondujících </w:t>
      </w:r>
      <w:r w:rsidR="00AC73DA">
        <w:rPr>
          <w:lang w:bidi="ar-SA"/>
        </w:rPr>
        <w:t>s dosavadním vnímáním KETs</w:t>
      </w:r>
      <w:r w:rsidR="00086E89">
        <w:rPr>
          <w:lang w:bidi="ar-SA"/>
        </w:rPr>
        <w:t>:</w:t>
      </w:r>
    </w:p>
    <w:p w14:paraId="12C29442" w14:textId="77777777" w:rsidR="00086E89" w:rsidRDefault="00086E89" w:rsidP="00D10F0D">
      <w:pPr>
        <w:pStyle w:val="Odstavecseseznamem"/>
        <w:numPr>
          <w:ilvl w:val="0"/>
          <w:numId w:val="11"/>
        </w:numPr>
        <w:rPr>
          <w:lang w:bidi="ar-SA"/>
        </w:rPr>
      </w:pPr>
      <w:r>
        <w:rPr>
          <w:lang w:bidi="ar-SA"/>
        </w:rPr>
        <w:t>výrobní technologie</w:t>
      </w:r>
    </w:p>
    <w:p w14:paraId="4DBE70BB" w14:textId="77777777" w:rsidR="00086E89" w:rsidRDefault="00086E89" w:rsidP="00D10F0D">
      <w:pPr>
        <w:pStyle w:val="Odstavecseseznamem"/>
        <w:numPr>
          <w:ilvl w:val="1"/>
          <w:numId w:val="11"/>
        </w:numPr>
        <w:rPr>
          <w:lang w:bidi="ar-SA"/>
        </w:rPr>
      </w:pPr>
      <w:r>
        <w:rPr>
          <w:lang w:bidi="ar-SA"/>
        </w:rPr>
        <w:t>pokročilé výrobní technologie</w:t>
      </w:r>
    </w:p>
    <w:p w14:paraId="1DF79E16" w14:textId="77777777" w:rsidR="00086E89" w:rsidRDefault="00086E89" w:rsidP="00D10F0D">
      <w:pPr>
        <w:pStyle w:val="Odstavecseseznamem"/>
        <w:numPr>
          <w:ilvl w:val="1"/>
          <w:numId w:val="11"/>
        </w:numPr>
        <w:rPr>
          <w:lang w:bidi="ar-SA"/>
        </w:rPr>
      </w:pPr>
      <w:r>
        <w:rPr>
          <w:lang w:bidi="ar-SA"/>
        </w:rPr>
        <w:t>pokročil</w:t>
      </w:r>
      <w:r w:rsidR="00551CC1">
        <w:rPr>
          <w:lang w:bidi="ar-SA"/>
        </w:rPr>
        <w:t>é</w:t>
      </w:r>
      <w:r>
        <w:rPr>
          <w:lang w:bidi="ar-SA"/>
        </w:rPr>
        <w:t xml:space="preserve"> materiál</w:t>
      </w:r>
      <w:r w:rsidR="00551CC1">
        <w:rPr>
          <w:lang w:bidi="ar-SA"/>
        </w:rPr>
        <w:t>y</w:t>
      </w:r>
      <w:r>
        <w:rPr>
          <w:lang w:bidi="ar-SA"/>
        </w:rPr>
        <w:t xml:space="preserve"> a nanotechnologie</w:t>
      </w:r>
    </w:p>
    <w:p w14:paraId="3F7877E7" w14:textId="77777777" w:rsidR="00086E89" w:rsidRDefault="00551CC1" w:rsidP="00D10F0D">
      <w:pPr>
        <w:pStyle w:val="Odstavecseseznamem"/>
        <w:numPr>
          <w:ilvl w:val="1"/>
          <w:numId w:val="11"/>
        </w:numPr>
        <w:rPr>
          <w:lang w:bidi="ar-SA"/>
        </w:rPr>
      </w:pPr>
      <w:r>
        <w:rPr>
          <w:lang w:bidi="ar-SA"/>
        </w:rPr>
        <w:t xml:space="preserve">průmyslové </w:t>
      </w:r>
      <w:r w:rsidR="00086E89">
        <w:rPr>
          <w:lang w:bidi="ar-SA"/>
        </w:rPr>
        <w:t>biotechnologie</w:t>
      </w:r>
    </w:p>
    <w:p w14:paraId="0B9C9E74" w14:textId="77777777" w:rsidR="00086E89" w:rsidRDefault="00086E89" w:rsidP="00D10F0D">
      <w:pPr>
        <w:pStyle w:val="Odstavecseseznamem"/>
        <w:numPr>
          <w:ilvl w:val="0"/>
          <w:numId w:val="11"/>
        </w:numPr>
        <w:rPr>
          <w:lang w:bidi="ar-SA"/>
        </w:rPr>
      </w:pPr>
      <w:r>
        <w:rPr>
          <w:lang w:bidi="ar-SA"/>
        </w:rPr>
        <w:t>digitální technologie</w:t>
      </w:r>
    </w:p>
    <w:p w14:paraId="12779133" w14:textId="77777777" w:rsidR="00086E89" w:rsidRDefault="00086E89" w:rsidP="00D10F0D">
      <w:pPr>
        <w:pStyle w:val="Odstavecseseznamem"/>
        <w:numPr>
          <w:ilvl w:val="1"/>
          <w:numId w:val="11"/>
        </w:numPr>
        <w:rPr>
          <w:lang w:bidi="ar-SA"/>
        </w:rPr>
      </w:pPr>
      <w:r>
        <w:rPr>
          <w:lang w:bidi="ar-SA"/>
        </w:rPr>
        <w:t>mikro/nano elektronika a fotonika</w:t>
      </w:r>
    </w:p>
    <w:p w14:paraId="100A08D4" w14:textId="77777777" w:rsidR="00086E89" w:rsidRDefault="00086E89" w:rsidP="00D10F0D">
      <w:pPr>
        <w:pStyle w:val="Odstavecseseznamem"/>
        <w:numPr>
          <w:ilvl w:val="1"/>
          <w:numId w:val="11"/>
        </w:numPr>
        <w:rPr>
          <w:lang w:bidi="ar-SA"/>
        </w:rPr>
      </w:pPr>
      <w:r>
        <w:rPr>
          <w:lang w:bidi="ar-SA"/>
        </w:rPr>
        <w:t xml:space="preserve">umělá inteligence </w:t>
      </w:r>
    </w:p>
    <w:p w14:paraId="6C016270" w14:textId="77777777" w:rsidR="00086E89" w:rsidRDefault="00086E89" w:rsidP="00D10F0D">
      <w:pPr>
        <w:pStyle w:val="Odstavecseseznamem"/>
        <w:numPr>
          <w:ilvl w:val="0"/>
          <w:numId w:val="11"/>
        </w:numPr>
        <w:rPr>
          <w:lang w:bidi="ar-SA"/>
        </w:rPr>
      </w:pPr>
      <w:r>
        <w:rPr>
          <w:lang w:bidi="ar-SA"/>
        </w:rPr>
        <w:t>kybernetické technologie</w:t>
      </w:r>
    </w:p>
    <w:p w14:paraId="0C2A5016" w14:textId="77777777" w:rsidR="008667BE" w:rsidRDefault="00551CC1" w:rsidP="00D10F0D">
      <w:pPr>
        <w:pStyle w:val="Odstavecseseznamem"/>
        <w:numPr>
          <w:ilvl w:val="1"/>
          <w:numId w:val="11"/>
        </w:numPr>
        <w:rPr>
          <w:lang w:bidi="ar-SA"/>
        </w:rPr>
      </w:pPr>
      <w:r>
        <w:rPr>
          <w:lang w:bidi="ar-SA"/>
        </w:rPr>
        <w:t>za</w:t>
      </w:r>
      <w:r w:rsidR="008667BE">
        <w:rPr>
          <w:lang w:bidi="ar-SA"/>
        </w:rPr>
        <w:t>bezpeč</w:t>
      </w:r>
      <w:r>
        <w:rPr>
          <w:lang w:bidi="ar-SA"/>
        </w:rPr>
        <w:t>ení</w:t>
      </w:r>
      <w:r w:rsidR="009E0A91">
        <w:rPr>
          <w:lang w:bidi="ar-SA"/>
        </w:rPr>
        <w:t xml:space="preserve"> </w:t>
      </w:r>
      <w:r w:rsidR="008667BE">
        <w:rPr>
          <w:lang w:bidi="ar-SA"/>
        </w:rPr>
        <w:t>a konektivita</w:t>
      </w:r>
    </w:p>
    <w:p w14:paraId="4E4F16F6" w14:textId="77777777" w:rsidR="008667BE" w:rsidRDefault="000B095E" w:rsidP="008667BE">
      <w:pPr>
        <w:rPr>
          <w:lang w:bidi="ar-SA"/>
        </w:rPr>
      </w:pPr>
      <w:r>
        <w:rPr>
          <w:lang w:bidi="ar-SA"/>
        </w:rPr>
        <w:t xml:space="preserve">Na základě </w:t>
      </w:r>
      <w:r w:rsidR="008667BE">
        <w:rPr>
          <w:lang w:bidi="ar-SA"/>
        </w:rPr>
        <w:t xml:space="preserve">uvedené interpretace evropských trendů v pojímání strategicky důležitých klíčových technologií lze </w:t>
      </w:r>
      <w:r>
        <w:rPr>
          <w:lang w:bidi="ar-SA"/>
        </w:rPr>
        <w:t>konstatovat</w:t>
      </w:r>
      <w:r w:rsidR="008667BE">
        <w:rPr>
          <w:lang w:bidi="ar-SA"/>
        </w:rPr>
        <w:t xml:space="preserve">, že v uplynulé dekádě je </w:t>
      </w:r>
      <w:r>
        <w:rPr>
          <w:lang w:bidi="ar-SA"/>
        </w:rPr>
        <w:t>postoj EK</w:t>
      </w:r>
      <w:r w:rsidR="008667BE">
        <w:rPr>
          <w:lang w:bidi="ar-SA"/>
        </w:rPr>
        <w:t xml:space="preserve"> </w:t>
      </w:r>
      <w:r>
        <w:rPr>
          <w:lang w:bidi="ar-SA"/>
        </w:rPr>
        <w:t>k</w:t>
      </w:r>
      <w:r w:rsidR="008667BE">
        <w:rPr>
          <w:lang w:bidi="ar-SA"/>
        </w:rPr>
        <w:t xml:space="preserve"> jejich výčt</w:t>
      </w:r>
      <w:r>
        <w:rPr>
          <w:lang w:bidi="ar-SA"/>
        </w:rPr>
        <w:t>u</w:t>
      </w:r>
      <w:r w:rsidR="008667BE">
        <w:rPr>
          <w:lang w:bidi="ar-SA"/>
        </w:rPr>
        <w:t xml:space="preserve"> </w:t>
      </w:r>
      <w:r w:rsidR="006656B6">
        <w:rPr>
          <w:lang w:bidi="ar-SA"/>
        </w:rPr>
        <w:t xml:space="preserve">v </w:t>
      </w:r>
      <w:r w:rsidR="008667BE">
        <w:rPr>
          <w:lang w:bidi="ar-SA"/>
        </w:rPr>
        <w:t xml:space="preserve">principu konzistentní, pouze dochází k redefinici a vyššímu důrazu na umělou inteligenci a </w:t>
      </w:r>
      <w:r w:rsidR="006F04F6">
        <w:rPr>
          <w:lang w:bidi="ar-SA"/>
        </w:rPr>
        <w:t>kybernetické technologie</w:t>
      </w:r>
      <w:r w:rsidR="008667BE">
        <w:rPr>
          <w:lang w:bidi="ar-SA"/>
        </w:rPr>
        <w:t>.</w:t>
      </w:r>
    </w:p>
    <w:p w14:paraId="4B30B355" w14:textId="77777777" w:rsidR="00CD39A9" w:rsidRPr="00CD39A9" w:rsidRDefault="00A50C8C" w:rsidP="009A0D99">
      <w:pPr>
        <w:rPr>
          <w:lang w:bidi="ar-SA"/>
        </w:rPr>
      </w:pPr>
      <w:r w:rsidRPr="00CD39A9">
        <w:rPr>
          <w:lang w:bidi="ar-SA"/>
        </w:rPr>
        <w:t xml:space="preserve">Významným hlediskem při </w:t>
      </w:r>
      <w:r w:rsidR="00CD39A9">
        <w:rPr>
          <w:lang w:bidi="ar-SA"/>
        </w:rPr>
        <w:t>stanovení</w:t>
      </w:r>
      <w:r w:rsidRPr="00CD39A9">
        <w:rPr>
          <w:lang w:bidi="ar-SA"/>
        </w:rPr>
        <w:t xml:space="preserve"> národních </w:t>
      </w:r>
      <w:r w:rsidR="00CD39A9">
        <w:rPr>
          <w:lang w:bidi="ar-SA"/>
        </w:rPr>
        <w:t xml:space="preserve">domén inteligentní specializace je identifikace </w:t>
      </w:r>
      <w:r w:rsidR="00CD39A9" w:rsidRPr="001E5B6A">
        <w:rPr>
          <w:b/>
          <w:lang w:bidi="ar-SA"/>
        </w:rPr>
        <w:t>aplikačních odvětví</w:t>
      </w:r>
      <w:r w:rsidR="001E5B6A">
        <w:rPr>
          <w:lang w:bidi="ar-SA"/>
        </w:rPr>
        <w:t xml:space="preserve">, ve kterých je možné inovace a nové produkty a služby uplatnit v konkrétních tržních nikách. </w:t>
      </w:r>
    </w:p>
    <w:p w14:paraId="265CA729" w14:textId="77777777" w:rsidR="009A0D99" w:rsidRDefault="00AC73DA" w:rsidP="009A0D99">
      <w:r>
        <w:rPr>
          <w:b/>
          <w:lang w:bidi="ar-SA"/>
        </w:rPr>
        <w:t>Aplikační odvětví</w:t>
      </w:r>
      <w:r>
        <w:rPr>
          <w:lang w:bidi="ar-SA"/>
        </w:rPr>
        <w:t xml:space="preserve"> uvedená v Národní RIS3 strategii se </w:t>
      </w:r>
      <w:r w:rsidR="001E5B6A">
        <w:rPr>
          <w:lang w:bidi="ar-SA"/>
        </w:rPr>
        <w:t>postupem času</w:t>
      </w:r>
      <w:r>
        <w:rPr>
          <w:lang w:bidi="ar-SA"/>
        </w:rPr>
        <w:t xml:space="preserve"> rozšiřovala tak, aby byla </w:t>
      </w:r>
      <w:r w:rsidR="001E5B6A">
        <w:rPr>
          <w:lang w:bidi="ar-SA"/>
        </w:rPr>
        <w:t>zahrnuta</w:t>
      </w:r>
      <w:r>
        <w:rPr>
          <w:lang w:bidi="ar-SA"/>
        </w:rPr>
        <w:t xml:space="preserve"> všechna odvětví národního hospodářství, kde je aplikace </w:t>
      </w:r>
      <w:r w:rsidR="009A0D99">
        <w:rPr>
          <w:lang w:bidi="ar-SA"/>
        </w:rPr>
        <w:t xml:space="preserve">poznatků z definovaných znalostních domén </w:t>
      </w:r>
      <w:r w:rsidR="009A0D99" w:rsidRPr="001E5B6A">
        <w:rPr>
          <w:b/>
          <w:lang w:bidi="ar-SA"/>
        </w:rPr>
        <w:t>teoreticky možná</w:t>
      </w:r>
      <w:r w:rsidR="009A0D99">
        <w:rPr>
          <w:lang w:bidi="ar-SA"/>
        </w:rPr>
        <w:t xml:space="preserve">. </w:t>
      </w:r>
      <w:r w:rsidR="009A0D99">
        <w:t xml:space="preserve">Výrobní odvětví a služby, v nichž lze předpokládat </w:t>
      </w:r>
      <w:r w:rsidR="009A0D99">
        <w:lastRenderedPageBreak/>
        <w:t>nejvýznamnější dopad klíčových technologií, se v podmínkách ČR postupně rozšiřovaly o další myslitelné obory činnosti, pro něž by mohly mít KETs potenciálně nějaký význam.</w:t>
      </w:r>
    </w:p>
    <w:p w14:paraId="4B859D38" w14:textId="77777777" w:rsidR="009A0D99" w:rsidRDefault="009A0D99" w:rsidP="008667BE">
      <w:r>
        <w:rPr>
          <w:lang w:bidi="ar-SA"/>
        </w:rPr>
        <w:t xml:space="preserve">Otázkou však zůstává, zda jsou </w:t>
      </w:r>
      <w:r w:rsidR="002865A5">
        <w:rPr>
          <w:lang w:bidi="ar-SA"/>
        </w:rPr>
        <w:t xml:space="preserve">prakticky reálné </w:t>
      </w:r>
      <w:r>
        <w:rPr>
          <w:lang w:bidi="ar-SA"/>
        </w:rPr>
        <w:t>ve všech těchto odvětvích inovace, vycházející z poznatků znalostních domén. (</w:t>
      </w:r>
      <w:r w:rsidRPr="0037099D">
        <w:rPr>
          <w:i/>
        </w:rPr>
        <w:t>Inovace  je  schopnost  přetvářet  nové  nápady  v  obchodní  výsledky  využíváním  nových postupů, výrobků nebo služeb, a to lépe a rychleji než konkurence</w:t>
      </w:r>
      <w:r>
        <w:t xml:space="preserve"> (úvodní věta </w:t>
      </w:r>
      <w:r w:rsidR="002865A5">
        <w:t>C</w:t>
      </w:r>
      <w:r>
        <w:t xml:space="preserve">OM(2009)442). </w:t>
      </w:r>
    </w:p>
    <w:p w14:paraId="5FED5891" w14:textId="77777777" w:rsidR="00423C0E" w:rsidRDefault="00423C0E" w:rsidP="00CA35DB">
      <w:pPr>
        <w:rPr>
          <w:lang w:bidi="ar-SA"/>
        </w:rPr>
      </w:pPr>
      <w:r w:rsidRPr="00423C0E">
        <w:rPr>
          <w:lang w:bidi="ar-SA"/>
        </w:rPr>
        <w:t>V širším smyslu slova lze inovaci chápat obecně jako změnu, která přináší hodnotu uživatelům (např. inovace ve veřejné správě nebo inovace snižující negativní externality). V zúženém pojetí je však inovace chápána jako změna, která přináší zákazníkům hodnotu, za kterou jsou ochotni zaplatit (Národní RIS3 strategie (2016), kap. 3.1.1)</w:t>
      </w:r>
      <w:r>
        <w:rPr>
          <w:lang w:bidi="ar-SA"/>
        </w:rPr>
        <w:t>.</w:t>
      </w:r>
    </w:p>
    <w:p w14:paraId="2F6B89BE" w14:textId="77777777" w:rsidR="00CA35DB" w:rsidRPr="00B32134" w:rsidRDefault="00D524FE" w:rsidP="00CA35DB">
      <w:pPr>
        <w:rPr>
          <w:rFonts w:eastAsia="Times New Roman" w:cstheme="minorHAnsi"/>
          <w:lang w:eastAsia="cs-CZ"/>
        </w:rPr>
      </w:pPr>
      <w:r>
        <w:rPr>
          <w:lang w:bidi="ar-SA"/>
        </w:rPr>
        <w:t xml:space="preserve">V tomto smyslu také Evropská komise definovala RIS3 </w:t>
      </w:r>
      <w:r w:rsidR="00CA35DB" w:rsidRPr="00CA35DB">
        <w:rPr>
          <w:lang w:bidi="ar-SA"/>
        </w:rPr>
        <w:t>jako</w:t>
      </w:r>
      <w:r w:rsidR="00CA35DB">
        <w:rPr>
          <w:lang w:bidi="ar-SA"/>
        </w:rPr>
        <w:t xml:space="preserve"> </w:t>
      </w:r>
      <w:r w:rsidR="00CA35DB">
        <w:rPr>
          <w:rFonts w:eastAsia="Times New Roman" w:cstheme="minorHAnsi"/>
          <w:lang w:eastAsia="cs-CZ"/>
        </w:rPr>
        <w:t>i</w:t>
      </w:r>
      <w:r w:rsidR="00CA35DB" w:rsidRPr="00B32134">
        <w:rPr>
          <w:rFonts w:eastAsia="Times New Roman" w:cstheme="minorHAnsi"/>
          <w:lang w:eastAsia="cs-CZ"/>
        </w:rPr>
        <w:t xml:space="preserve">ntegrované, místně založené agendy ekonomické transformace, které </w:t>
      </w:r>
      <w:r w:rsidR="00766102">
        <w:rPr>
          <w:rFonts w:eastAsia="Times New Roman" w:cstheme="minorHAnsi"/>
          <w:lang w:eastAsia="cs-CZ"/>
        </w:rPr>
        <w:t xml:space="preserve">se zaměřují na </w:t>
      </w:r>
      <w:r w:rsidR="00CA35DB" w:rsidRPr="00B32134">
        <w:rPr>
          <w:rFonts w:eastAsia="Times New Roman" w:cstheme="minorHAnsi"/>
          <w:lang w:eastAsia="cs-CZ"/>
        </w:rPr>
        <w:t xml:space="preserve">pět důležitých </w:t>
      </w:r>
      <w:r w:rsidR="00766102">
        <w:rPr>
          <w:rFonts w:eastAsia="Times New Roman" w:cstheme="minorHAnsi"/>
          <w:lang w:eastAsia="cs-CZ"/>
        </w:rPr>
        <w:t>aspektů</w:t>
      </w:r>
      <w:r w:rsidR="00766102">
        <w:rPr>
          <w:rStyle w:val="Znakapoznpodarou"/>
          <w:lang w:bidi="ar-SA"/>
        </w:rPr>
        <w:footnoteReference w:id="30"/>
      </w:r>
      <w:r w:rsidR="00CA35DB">
        <w:rPr>
          <w:rFonts w:eastAsia="Times New Roman" w:cstheme="minorHAnsi"/>
          <w:lang w:eastAsia="cs-CZ"/>
        </w:rPr>
        <w:t>:</w:t>
      </w:r>
    </w:p>
    <w:p w14:paraId="4B901A69" w14:textId="3912C000" w:rsidR="00CA35DB" w:rsidRPr="00B32134" w:rsidRDefault="00CA35DB" w:rsidP="00D10F0D">
      <w:pPr>
        <w:pStyle w:val="Odstavecseseznamem"/>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heme="minorHAnsi"/>
          <w:lang w:eastAsia="cs-CZ"/>
        </w:rPr>
      </w:pPr>
      <w:r w:rsidRPr="00B32134">
        <w:rPr>
          <w:rFonts w:eastAsia="Times New Roman" w:cstheme="minorHAnsi"/>
          <w:lang w:eastAsia="cs-CZ"/>
        </w:rPr>
        <w:t xml:space="preserve">Zaměřují podporu politik a investic na </w:t>
      </w:r>
      <w:r w:rsidRPr="001D6C12">
        <w:rPr>
          <w:rFonts w:eastAsia="Times New Roman" w:cstheme="minorHAnsi"/>
          <w:b/>
          <w:lang w:eastAsia="cs-CZ"/>
        </w:rPr>
        <w:t>klíčové národní</w:t>
      </w:r>
      <w:r w:rsidRPr="00B32134">
        <w:rPr>
          <w:rFonts w:eastAsia="Times New Roman" w:cstheme="minorHAnsi"/>
          <w:lang w:eastAsia="cs-CZ"/>
        </w:rPr>
        <w:t xml:space="preserve"> / regionální </w:t>
      </w:r>
      <w:r w:rsidRPr="001D6C12">
        <w:rPr>
          <w:rFonts w:eastAsia="Times New Roman" w:cstheme="minorHAnsi"/>
          <w:b/>
          <w:lang w:eastAsia="cs-CZ"/>
        </w:rPr>
        <w:t>priority</w:t>
      </w:r>
      <w:r w:rsidRPr="00B32134">
        <w:rPr>
          <w:rFonts w:eastAsia="Times New Roman" w:cstheme="minorHAnsi"/>
          <w:lang w:eastAsia="cs-CZ"/>
        </w:rPr>
        <w:t>, výzvy a potřeb</w:t>
      </w:r>
      <w:r>
        <w:rPr>
          <w:rFonts w:eastAsia="Times New Roman" w:cstheme="minorHAnsi"/>
          <w:lang w:eastAsia="cs-CZ"/>
        </w:rPr>
        <w:t>y</w:t>
      </w:r>
      <w:r w:rsidRPr="00B32134">
        <w:rPr>
          <w:rFonts w:eastAsia="Times New Roman" w:cstheme="minorHAnsi"/>
          <w:lang w:eastAsia="cs-CZ"/>
        </w:rPr>
        <w:t xml:space="preserve"> pro rozvoj založený na znalostech, včetně opatření týkajících se informačních a</w:t>
      </w:r>
      <w:r w:rsidR="005147C3">
        <w:rPr>
          <w:rFonts w:eastAsia="Times New Roman" w:cstheme="minorHAnsi"/>
          <w:lang w:eastAsia="cs-CZ"/>
        </w:rPr>
        <w:t> </w:t>
      </w:r>
      <w:r w:rsidRPr="00B32134">
        <w:rPr>
          <w:rFonts w:eastAsia="Times New Roman" w:cstheme="minorHAnsi"/>
          <w:lang w:eastAsia="cs-CZ"/>
        </w:rPr>
        <w:t>komunikačních technologií;</w:t>
      </w:r>
    </w:p>
    <w:p w14:paraId="7252068F" w14:textId="3E5B80B8" w:rsidR="00CA35DB" w:rsidRPr="00B32134" w:rsidRDefault="00CA35DB" w:rsidP="00D10F0D">
      <w:pPr>
        <w:pStyle w:val="Odstavecseseznamem"/>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heme="minorHAnsi"/>
          <w:lang w:eastAsia="cs-CZ"/>
        </w:rPr>
      </w:pPr>
      <w:r w:rsidRPr="00B32134">
        <w:rPr>
          <w:rFonts w:eastAsia="Times New Roman" w:cstheme="minorHAnsi"/>
          <w:lang w:eastAsia="cs-CZ"/>
        </w:rPr>
        <w:t xml:space="preserve">Staví na </w:t>
      </w:r>
      <w:r w:rsidRPr="001D6C12">
        <w:rPr>
          <w:rFonts w:eastAsia="Times New Roman" w:cstheme="minorHAnsi"/>
          <w:b/>
          <w:lang w:eastAsia="cs-CZ"/>
        </w:rPr>
        <w:t>silných, konkurenčních výhodách a možnostech</w:t>
      </w:r>
      <w:r w:rsidRPr="00B32134">
        <w:rPr>
          <w:rFonts w:eastAsia="Times New Roman" w:cstheme="minorHAnsi"/>
          <w:lang w:eastAsia="cs-CZ"/>
        </w:rPr>
        <w:t xml:space="preserve"> každé země / regionu </w:t>
      </w:r>
      <w:r w:rsidRPr="001D6C12">
        <w:rPr>
          <w:rFonts w:eastAsia="Times New Roman" w:cstheme="minorHAnsi"/>
          <w:b/>
          <w:lang w:eastAsia="cs-CZ"/>
        </w:rPr>
        <w:t>a</w:t>
      </w:r>
      <w:r w:rsidR="005147C3">
        <w:rPr>
          <w:rFonts w:eastAsia="Times New Roman" w:cstheme="minorHAnsi"/>
          <w:b/>
          <w:lang w:eastAsia="cs-CZ"/>
        </w:rPr>
        <w:t> </w:t>
      </w:r>
      <w:r w:rsidRPr="001D6C12">
        <w:rPr>
          <w:rFonts w:eastAsia="Times New Roman" w:cstheme="minorHAnsi"/>
          <w:b/>
          <w:lang w:eastAsia="cs-CZ"/>
        </w:rPr>
        <w:t>potenciálu excelence</w:t>
      </w:r>
      <w:r w:rsidRPr="00B32134">
        <w:rPr>
          <w:rFonts w:eastAsia="Times New Roman" w:cstheme="minorHAnsi"/>
          <w:lang w:eastAsia="cs-CZ"/>
        </w:rPr>
        <w:t>;</w:t>
      </w:r>
    </w:p>
    <w:p w14:paraId="4FD282AD" w14:textId="77777777" w:rsidR="00CA35DB" w:rsidRPr="007C09CC" w:rsidRDefault="00CA35DB" w:rsidP="00D10F0D">
      <w:pPr>
        <w:pStyle w:val="Odstavecseseznamem"/>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heme="minorHAnsi"/>
          <w:lang w:eastAsia="cs-CZ"/>
        </w:rPr>
      </w:pPr>
      <w:r w:rsidRPr="007C09CC">
        <w:rPr>
          <w:rFonts w:eastAsia="Times New Roman" w:cstheme="minorHAnsi"/>
          <w:lang w:eastAsia="cs-CZ"/>
        </w:rPr>
        <w:t xml:space="preserve">Podporují </w:t>
      </w:r>
      <w:r w:rsidRPr="00EF31D5">
        <w:rPr>
          <w:rFonts w:eastAsia="Times New Roman" w:cstheme="minorHAnsi"/>
          <w:b/>
          <w:lang w:eastAsia="cs-CZ"/>
        </w:rPr>
        <w:t>inovace založené na technologii i praxi</w:t>
      </w:r>
      <w:r w:rsidRPr="007C09CC">
        <w:rPr>
          <w:rFonts w:eastAsia="Times New Roman" w:cstheme="minorHAnsi"/>
          <w:lang w:eastAsia="cs-CZ"/>
        </w:rPr>
        <w:t xml:space="preserve"> a snaží se je stimulovat investice</w:t>
      </w:r>
      <w:r>
        <w:rPr>
          <w:rFonts w:eastAsia="Times New Roman" w:cstheme="minorHAnsi"/>
          <w:lang w:eastAsia="cs-CZ"/>
        </w:rPr>
        <w:t>mi</w:t>
      </w:r>
      <w:r w:rsidRPr="007C09CC">
        <w:rPr>
          <w:rFonts w:eastAsia="Times New Roman" w:cstheme="minorHAnsi"/>
          <w:lang w:eastAsia="cs-CZ"/>
        </w:rPr>
        <w:t xml:space="preserve"> soukromého sektoru;</w:t>
      </w:r>
    </w:p>
    <w:p w14:paraId="59EC01E2" w14:textId="77777777" w:rsidR="00CA35DB" w:rsidRPr="00B32134" w:rsidRDefault="00CA35DB" w:rsidP="00D10F0D">
      <w:pPr>
        <w:pStyle w:val="Odstavecseseznamem"/>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heme="minorHAnsi"/>
          <w:lang w:eastAsia="cs-CZ"/>
        </w:rPr>
      </w:pPr>
      <w:r w:rsidRPr="00B32134">
        <w:rPr>
          <w:rFonts w:eastAsia="Times New Roman" w:cstheme="minorHAnsi"/>
          <w:lang w:eastAsia="cs-CZ"/>
        </w:rPr>
        <w:t xml:space="preserve">Zúčastněné strany </w:t>
      </w:r>
      <w:r>
        <w:rPr>
          <w:rFonts w:eastAsia="Times New Roman" w:cstheme="minorHAnsi"/>
          <w:lang w:eastAsia="cs-CZ"/>
        </w:rPr>
        <w:t xml:space="preserve">se </w:t>
      </w:r>
      <w:r w:rsidRPr="00B32134">
        <w:rPr>
          <w:rFonts w:eastAsia="Times New Roman" w:cstheme="minorHAnsi"/>
          <w:lang w:eastAsia="cs-CZ"/>
        </w:rPr>
        <w:t xml:space="preserve">plně zapojují </w:t>
      </w:r>
      <w:r>
        <w:rPr>
          <w:rFonts w:eastAsia="Times New Roman" w:cstheme="minorHAnsi"/>
          <w:lang w:eastAsia="cs-CZ"/>
        </w:rPr>
        <w:t xml:space="preserve">do procesu </w:t>
      </w:r>
      <w:r w:rsidRPr="00B32134">
        <w:rPr>
          <w:rFonts w:eastAsia="Times New Roman" w:cstheme="minorHAnsi"/>
          <w:lang w:eastAsia="cs-CZ"/>
        </w:rPr>
        <w:t>a podporují inovace a experimenty;</w:t>
      </w:r>
    </w:p>
    <w:p w14:paraId="4E112F8A" w14:textId="77777777" w:rsidR="00CA35DB" w:rsidRPr="00B32134" w:rsidRDefault="00CA35DB" w:rsidP="00D10F0D">
      <w:pPr>
        <w:pStyle w:val="Odstavecseseznamem"/>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heme="minorHAnsi"/>
          <w:lang w:eastAsia="cs-CZ"/>
        </w:rPr>
      </w:pPr>
      <w:r w:rsidRPr="00B32134">
        <w:rPr>
          <w:rFonts w:eastAsia="Times New Roman" w:cstheme="minorHAnsi"/>
          <w:lang w:eastAsia="cs-CZ"/>
        </w:rPr>
        <w:t xml:space="preserve">Jsou založeny na důkazech a zahrnují </w:t>
      </w:r>
      <w:r>
        <w:rPr>
          <w:rFonts w:eastAsia="Times New Roman" w:cstheme="minorHAnsi"/>
          <w:lang w:eastAsia="cs-CZ"/>
        </w:rPr>
        <w:t>důkladný</w:t>
      </w:r>
      <w:r w:rsidRPr="00B32134">
        <w:rPr>
          <w:rFonts w:eastAsia="Times New Roman" w:cstheme="minorHAnsi"/>
          <w:lang w:eastAsia="cs-CZ"/>
        </w:rPr>
        <w:t xml:space="preserve"> monitor</w:t>
      </w:r>
      <w:r>
        <w:rPr>
          <w:rFonts w:eastAsia="Times New Roman" w:cstheme="minorHAnsi"/>
          <w:lang w:eastAsia="cs-CZ"/>
        </w:rPr>
        <w:t>ing</w:t>
      </w:r>
      <w:r w:rsidRPr="00B32134">
        <w:rPr>
          <w:rFonts w:eastAsia="Times New Roman" w:cstheme="minorHAnsi"/>
          <w:lang w:eastAsia="cs-CZ"/>
        </w:rPr>
        <w:t xml:space="preserve"> a </w:t>
      </w:r>
      <w:r>
        <w:rPr>
          <w:rFonts w:eastAsia="Times New Roman" w:cstheme="minorHAnsi"/>
          <w:lang w:eastAsia="cs-CZ"/>
        </w:rPr>
        <w:t>evaluační</w:t>
      </w:r>
      <w:r w:rsidRPr="00B32134">
        <w:rPr>
          <w:rFonts w:eastAsia="Times New Roman" w:cstheme="minorHAnsi"/>
          <w:lang w:eastAsia="cs-CZ"/>
        </w:rPr>
        <w:t xml:space="preserve"> systémy.</w:t>
      </w:r>
    </w:p>
    <w:p w14:paraId="0459A551" w14:textId="5765DD52" w:rsidR="00CA35DB" w:rsidRDefault="00CA35DB" w:rsidP="00C4041A">
      <w:pPr>
        <w:rPr>
          <w:bCs/>
          <w:i/>
          <w:szCs w:val="22"/>
        </w:rPr>
      </w:pPr>
      <w:r>
        <w:rPr>
          <w:lang w:bidi="ar-SA"/>
        </w:rPr>
        <w:t xml:space="preserve">Tyto atributy Národní RIS3 strategie předpokládá </w:t>
      </w:r>
      <w:r w:rsidR="00766102">
        <w:rPr>
          <w:lang w:bidi="ar-SA"/>
        </w:rPr>
        <w:t xml:space="preserve">také </w:t>
      </w:r>
      <w:r>
        <w:rPr>
          <w:lang w:bidi="ar-SA"/>
        </w:rPr>
        <w:t>Národní politika V</w:t>
      </w:r>
      <w:r w:rsidR="00766102">
        <w:rPr>
          <w:lang w:bidi="ar-SA"/>
        </w:rPr>
        <w:t>ýzkumu, vývoje a inovací ČR</w:t>
      </w:r>
      <w:r>
        <w:rPr>
          <w:lang w:bidi="ar-SA"/>
        </w:rPr>
        <w:t xml:space="preserve">, která </w:t>
      </w:r>
      <w:r w:rsidR="00C4041A">
        <w:rPr>
          <w:lang w:bidi="ar-SA"/>
        </w:rPr>
        <w:t>oček</w:t>
      </w:r>
      <w:r>
        <w:rPr>
          <w:lang w:bidi="ar-SA"/>
        </w:rPr>
        <w:t>á</w:t>
      </w:r>
      <w:r w:rsidR="00C4041A">
        <w:rPr>
          <w:lang w:bidi="ar-SA"/>
        </w:rPr>
        <w:t>v</w:t>
      </w:r>
      <w:r>
        <w:rPr>
          <w:lang w:bidi="ar-SA"/>
        </w:rPr>
        <w:t xml:space="preserve">á, že ke specifickému cíli </w:t>
      </w:r>
      <w:r>
        <w:rPr>
          <w:b/>
          <w:bCs/>
          <w:szCs w:val="22"/>
        </w:rPr>
        <w:t>5.2: Vytvořit koncepci podpory aplikovaného výzkumu</w:t>
      </w:r>
      <w:r>
        <w:rPr>
          <w:bCs/>
          <w:szCs w:val="22"/>
        </w:rPr>
        <w:t xml:space="preserve">, přispěje právě Národní RIS3 strategie a to při realizaci opatření </w:t>
      </w:r>
      <w:r w:rsidRPr="00C4041A">
        <w:rPr>
          <w:b/>
          <w:bCs/>
          <w:i/>
          <w:szCs w:val="22"/>
        </w:rPr>
        <w:t xml:space="preserve">28 </w:t>
      </w:r>
      <w:r w:rsidR="00C4041A" w:rsidRPr="00C4041A">
        <w:rPr>
          <w:b/>
          <w:bCs/>
          <w:i/>
          <w:szCs w:val="22"/>
        </w:rPr>
        <w:t>Stanovit hlavní směry podpory aplikovaného výzkumu</w:t>
      </w:r>
      <w:r w:rsidR="00C4041A">
        <w:rPr>
          <w:b/>
          <w:bCs/>
          <w:i/>
          <w:szCs w:val="22"/>
        </w:rPr>
        <w:t xml:space="preserve">. </w:t>
      </w:r>
      <w:r w:rsidR="00C4041A">
        <w:rPr>
          <w:bCs/>
          <w:szCs w:val="22"/>
        </w:rPr>
        <w:t xml:space="preserve">V příslušné části NP VaVaI se uvádí: </w:t>
      </w:r>
      <w:r w:rsidR="00C4041A" w:rsidRPr="00C4041A">
        <w:rPr>
          <w:bCs/>
          <w:i/>
          <w:szCs w:val="22"/>
        </w:rPr>
        <w:t>…</w:t>
      </w:r>
      <w:r w:rsidR="00C4041A" w:rsidRPr="00C4041A">
        <w:rPr>
          <w:i/>
        </w:rPr>
        <w:t xml:space="preserve"> </w:t>
      </w:r>
      <w:r w:rsidR="00C4041A" w:rsidRPr="00C4041A">
        <w:rPr>
          <w:bCs/>
          <w:i/>
          <w:szCs w:val="22"/>
        </w:rPr>
        <w:t>rozpracovat dlouhodobé priority (5-</w:t>
      </w:r>
      <w:r w:rsidR="005147C3">
        <w:rPr>
          <w:bCs/>
          <w:i/>
          <w:szCs w:val="22"/>
        </w:rPr>
        <w:t> </w:t>
      </w:r>
      <w:r w:rsidR="00C4041A" w:rsidRPr="00C4041A">
        <w:rPr>
          <w:bCs/>
          <w:i/>
          <w:szCs w:val="22"/>
        </w:rPr>
        <w:t xml:space="preserve">10 let) a vertikální domény Národní RIS3 </w:t>
      </w:r>
      <w:r w:rsidR="00766102">
        <w:rPr>
          <w:bCs/>
          <w:i/>
          <w:szCs w:val="22"/>
        </w:rPr>
        <w:t xml:space="preserve">strategie </w:t>
      </w:r>
      <w:r w:rsidR="00C4041A" w:rsidRPr="00C4041A">
        <w:rPr>
          <w:bCs/>
          <w:i/>
          <w:szCs w:val="22"/>
        </w:rPr>
        <w:t>do konkrétních střednědobých (3-5 let) směrů aplikovaného výzkumu. Tyto směry aplikovaného výzkumu budou zohledňovat potenciál České republiky a jednotlivých regionů a budou reagovat na identifikovanou poptávku uživatelů po výsledcích aplikovaného výzkumu</w:t>
      </w:r>
      <w:r w:rsidR="00766102">
        <w:rPr>
          <w:rStyle w:val="Znakapoznpodarou"/>
          <w:bCs/>
          <w:i/>
          <w:szCs w:val="22"/>
        </w:rPr>
        <w:footnoteReference w:id="31"/>
      </w:r>
      <w:r w:rsidR="00C4041A" w:rsidRPr="00C4041A">
        <w:rPr>
          <w:bCs/>
          <w:i/>
          <w:szCs w:val="22"/>
        </w:rPr>
        <w:t>.</w:t>
      </w:r>
    </w:p>
    <w:p w14:paraId="7E27C247" w14:textId="77777777" w:rsidR="00C4041A" w:rsidRDefault="00C4041A" w:rsidP="00C4041A">
      <w:pPr>
        <w:rPr>
          <w:bCs/>
          <w:szCs w:val="22"/>
        </w:rPr>
      </w:pPr>
      <w:r>
        <w:rPr>
          <w:bCs/>
          <w:szCs w:val="22"/>
        </w:rPr>
        <w:t xml:space="preserve">Reálným výsledkem reagujícím na tento předpoklad „stanovení hlavních směrů“ je v Národní RIS3 strategii specifikace </w:t>
      </w:r>
      <w:r w:rsidR="00D338C3" w:rsidRPr="00D338C3">
        <w:rPr>
          <w:b/>
          <w:bCs/>
          <w:szCs w:val="22"/>
        </w:rPr>
        <w:t>velkého množství</w:t>
      </w:r>
      <w:r w:rsidR="00D338C3">
        <w:rPr>
          <w:bCs/>
          <w:szCs w:val="22"/>
        </w:rPr>
        <w:t xml:space="preserve"> </w:t>
      </w:r>
      <w:r>
        <w:rPr>
          <w:bCs/>
          <w:szCs w:val="22"/>
        </w:rPr>
        <w:t>témat VaVaI v</w:t>
      </w:r>
      <w:r w:rsidR="00D338C3">
        <w:rPr>
          <w:bCs/>
          <w:szCs w:val="22"/>
        </w:rPr>
        <w:t xml:space="preserve"> mnoha </w:t>
      </w:r>
      <w:r>
        <w:rPr>
          <w:bCs/>
          <w:szCs w:val="22"/>
        </w:rPr>
        <w:t>aplikačních odvětvích ekonomické specializace</w:t>
      </w:r>
      <w:r w:rsidR="00D338C3">
        <w:rPr>
          <w:bCs/>
          <w:szCs w:val="22"/>
        </w:rPr>
        <w:t>, což</w:t>
      </w:r>
      <w:r>
        <w:rPr>
          <w:bCs/>
          <w:szCs w:val="22"/>
        </w:rPr>
        <w:t xml:space="preserve"> </w:t>
      </w:r>
    </w:p>
    <w:p w14:paraId="5655244A" w14:textId="77777777" w:rsidR="009A02AB" w:rsidRPr="00C4041A" w:rsidRDefault="00D338C3" w:rsidP="009A02AB">
      <w:pPr>
        <w:rPr>
          <w:lang w:bidi="ar-SA"/>
        </w:rPr>
      </w:pPr>
      <w:r>
        <w:rPr>
          <w:bCs/>
          <w:szCs w:val="22"/>
        </w:rPr>
        <w:lastRenderedPageBreak/>
        <w:t xml:space="preserve">významně ztěžuje </w:t>
      </w:r>
      <w:r w:rsidR="009A02AB">
        <w:rPr>
          <w:bCs/>
          <w:szCs w:val="22"/>
        </w:rPr>
        <w:t xml:space="preserve">efektivně nastavit </w:t>
      </w:r>
      <w:r w:rsidR="009A02AB" w:rsidRPr="006F04F6">
        <w:rPr>
          <w:bCs/>
          <w:i/>
          <w:szCs w:val="22"/>
        </w:rPr>
        <w:t>hlavní směry podpory aplikovaného výzkumu</w:t>
      </w:r>
      <w:r w:rsidR="00546A61">
        <w:rPr>
          <w:bCs/>
          <w:szCs w:val="22"/>
        </w:rPr>
        <w:t xml:space="preserve">. </w:t>
      </w:r>
      <w:r w:rsidR="009A02AB" w:rsidRPr="00546A61">
        <w:rPr>
          <w:bCs/>
          <w:szCs w:val="22"/>
        </w:rPr>
        <w:t xml:space="preserve">Podnikatelské objevování </w:t>
      </w:r>
      <w:r w:rsidR="009A02AB">
        <w:rPr>
          <w:bCs/>
          <w:szCs w:val="22"/>
        </w:rPr>
        <w:t xml:space="preserve">má být </w:t>
      </w:r>
      <w:r w:rsidR="009A02AB" w:rsidRPr="00546A61">
        <w:rPr>
          <w:bCs/>
          <w:szCs w:val="22"/>
        </w:rPr>
        <w:t xml:space="preserve">proces systematického </w:t>
      </w:r>
      <w:r w:rsidR="009A02AB">
        <w:rPr>
          <w:bCs/>
          <w:szCs w:val="22"/>
        </w:rPr>
        <w:t xml:space="preserve">prověřování </w:t>
      </w:r>
      <w:r w:rsidR="009A02AB" w:rsidRPr="00546A61">
        <w:rPr>
          <w:bCs/>
          <w:szCs w:val="22"/>
        </w:rPr>
        <w:t>technologických, politických a regulačních, sociálních a demografických změn, abychom objevili příležitosti k produkci nového zboží a služeb</w:t>
      </w:r>
      <w:r w:rsidR="009A02AB">
        <w:rPr>
          <w:rStyle w:val="Znakapoznpodarou"/>
          <w:bCs/>
          <w:szCs w:val="22"/>
        </w:rPr>
        <w:footnoteReference w:id="32"/>
      </w:r>
      <w:r w:rsidR="009A02AB" w:rsidRPr="00546A61">
        <w:rPr>
          <w:bCs/>
          <w:szCs w:val="22"/>
        </w:rPr>
        <w:t>.</w:t>
      </w:r>
    </w:p>
    <w:p w14:paraId="1B5E0686" w14:textId="77777777" w:rsidR="00DC5FD4" w:rsidRDefault="006F04F6" w:rsidP="00010D71">
      <w:pPr>
        <w:pStyle w:val="Default"/>
        <w:jc w:val="both"/>
        <w:rPr>
          <w:rFonts w:asciiTheme="majorHAnsi" w:hAnsiTheme="majorHAnsi" w:cstheme="majorHAnsi"/>
          <w:sz w:val="22"/>
          <w:szCs w:val="22"/>
        </w:rPr>
      </w:pPr>
      <w:r w:rsidRPr="00010D71">
        <w:rPr>
          <w:rFonts w:asciiTheme="majorHAnsi" w:hAnsiTheme="majorHAnsi" w:cstheme="majorHAnsi"/>
          <w:sz w:val="22"/>
          <w:szCs w:val="22"/>
        </w:rPr>
        <w:t>Problematika</w:t>
      </w:r>
      <w:r w:rsidR="00010D71">
        <w:rPr>
          <w:rFonts w:asciiTheme="majorHAnsi" w:hAnsiTheme="majorHAnsi" w:cstheme="majorHAnsi"/>
          <w:sz w:val="22"/>
          <w:szCs w:val="22"/>
        </w:rPr>
        <w:t xml:space="preserve"> vlastního </w:t>
      </w:r>
      <w:r w:rsidRPr="00010D71">
        <w:rPr>
          <w:rFonts w:asciiTheme="majorHAnsi" w:hAnsiTheme="majorHAnsi" w:cstheme="majorHAnsi"/>
          <w:sz w:val="22"/>
          <w:szCs w:val="22"/>
        </w:rPr>
        <w:t>EDP procesu</w:t>
      </w:r>
      <w:r w:rsidR="00144DBE" w:rsidRPr="00010D71">
        <w:rPr>
          <w:rFonts w:asciiTheme="majorHAnsi" w:hAnsiTheme="majorHAnsi" w:cstheme="majorHAnsi"/>
          <w:sz w:val="22"/>
          <w:szCs w:val="22"/>
        </w:rPr>
        <w:t>, tak jak byl aplikován v rámci Národní RIS3 strategi</w:t>
      </w:r>
      <w:r w:rsidR="002865A5">
        <w:rPr>
          <w:rFonts w:asciiTheme="majorHAnsi" w:hAnsiTheme="majorHAnsi" w:cstheme="majorHAnsi"/>
          <w:sz w:val="22"/>
          <w:szCs w:val="22"/>
        </w:rPr>
        <w:t>e</w:t>
      </w:r>
      <w:r w:rsidR="00010D71" w:rsidRPr="00010D71">
        <w:rPr>
          <w:rFonts w:asciiTheme="majorHAnsi" w:hAnsiTheme="majorHAnsi" w:cstheme="majorHAnsi"/>
          <w:sz w:val="22"/>
          <w:szCs w:val="22"/>
        </w:rPr>
        <w:t>,</w:t>
      </w:r>
      <w:r w:rsidRPr="00010D71">
        <w:rPr>
          <w:rFonts w:asciiTheme="majorHAnsi" w:hAnsiTheme="majorHAnsi" w:cstheme="majorHAnsi"/>
          <w:sz w:val="22"/>
          <w:szCs w:val="22"/>
        </w:rPr>
        <w:t xml:space="preserve"> </w:t>
      </w:r>
      <w:r w:rsidR="002865A5">
        <w:rPr>
          <w:rFonts w:asciiTheme="majorHAnsi" w:hAnsiTheme="majorHAnsi" w:cstheme="majorHAnsi"/>
          <w:sz w:val="22"/>
          <w:szCs w:val="22"/>
        </w:rPr>
        <w:t>je</w:t>
      </w:r>
      <w:r w:rsidR="00144DBE" w:rsidRPr="00010D71">
        <w:rPr>
          <w:rFonts w:asciiTheme="majorHAnsi" w:hAnsiTheme="majorHAnsi" w:cstheme="majorHAnsi"/>
          <w:sz w:val="22"/>
          <w:szCs w:val="22"/>
        </w:rPr>
        <w:t xml:space="preserve"> diskutována v jiné části evaluační zprávy</w:t>
      </w:r>
      <w:r w:rsidR="00B3383E">
        <w:rPr>
          <w:rFonts w:asciiTheme="majorHAnsi" w:hAnsiTheme="majorHAnsi" w:cstheme="majorHAnsi"/>
          <w:sz w:val="22"/>
          <w:szCs w:val="22"/>
        </w:rPr>
        <w:t xml:space="preserve"> (</w:t>
      </w:r>
      <w:r w:rsidR="002865A5">
        <w:rPr>
          <w:rFonts w:asciiTheme="majorHAnsi" w:hAnsiTheme="majorHAnsi" w:cstheme="majorHAnsi"/>
          <w:sz w:val="22"/>
          <w:szCs w:val="22"/>
        </w:rPr>
        <w:t>kap. 6.2</w:t>
      </w:r>
      <w:r w:rsidR="00B3383E">
        <w:rPr>
          <w:rFonts w:asciiTheme="majorHAnsi" w:hAnsiTheme="majorHAnsi" w:cstheme="majorHAnsi"/>
          <w:sz w:val="22"/>
          <w:szCs w:val="22"/>
        </w:rPr>
        <w:t>)</w:t>
      </w:r>
      <w:r w:rsidR="00144DBE" w:rsidRPr="00010D71">
        <w:rPr>
          <w:rFonts w:asciiTheme="majorHAnsi" w:hAnsiTheme="majorHAnsi" w:cstheme="majorHAnsi"/>
          <w:sz w:val="22"/>
          <w:szCs w:val="22"/>
        </w:rPr>
        <w:t>, avšak ve vztahu k</w:t>
      </w:r>
      <w:r w:rsidR="002865A5">
        <w:rPr>
          <w:rFonts w:asciiTheme="majorHAnsi" w:hAnsiTheme="majorHAnsi" w:cstheme="majorHAnsi"/>
          <w:sz w:val="22"/>
          <w:szCs w:val="22"/>
        </w:rPr>
        <w:t> doménám specializace</w:t>
      </w:r>
      <w:r w:rsidR="00144DBE" w:rsidRPr="00010D71">
        <w:rPr>
          <w:rFonts w:asciiTheme="majorHAnsi" w:hAnsiTheme="majorHAnsi" w:cstheme="majorHAnsi"/>
          <w:sz w:val="22"/>
          <w:szCs w:val="22"/>
        </w:rPr>
        <w:t xml:space="preserve"> </w:t>
      </w:r>
      <w:r w:rsidR="00B3383E">
        <w:rPr>
          <w:rFonts w:asciiTheme="majorHAnsi" w:hAnsiTheme="majorHAnsi" w:cstheme="majorHAnsi"/>
          <w:sz w:val="22"/>
          <w:szCs w:val="22"/>
        </w:rPr>
        <w:t xml:space="preserve">je zřejmé, že </w:t>
      </w:r>
      <w:r w:rsidR="00B3383E" w:rsidRPr="00010D71">
        <w:rPr>
          <w:rFonts w:asciiTheme="majorHAnsi" w:hAnsiTheme="majorHAnsi" w:cstheme="majorHAnsi"/>
          <w:sz w:val="22"/>
          <w:szCs w:val="22"/>
        </w:rPr>
        <w:t xml:space="preserve">zadání </w:t>
      </w:r>
      <w:r w:rsidR="00144DBE" w:rsidRPr="00010D71">
        <w:rPr>
          <w:rFonts w:asciiTheme="majorHAnsi" w:hAnsiTheme="majorHAnsi" w:cstheme="majorHAnsi"/>
          <w:sz w:val="22"/>
          <w:szCs w:val="22"/>
        </w:rPr>
        <w:t xml:space="preserve">nebylo již od počátku formulováno </w:t>
      </w:r>
      <w:r w:rsidR="00144DBE" w:rsidRPr="002865A5">
        <w:rPr>
          <w:rFonts w:asciiTheme="majorHAnsi" w:hAnsiTheme="majorHAnsi" w:cstheme="majorHAnsi"/>
          <w:b/>
          <w:sz w:val="22"/>
          <w:szCs w:val="22"/>
        </w:rPr>
        <w:t>dostatečně jednoznačně</w:t>
      </w:r>
      <w:r w:rsidR="00144DBE" w:rsidRPr="00010D71">
        <w:rPr>
          <w:rFonts w:asciiTheme="majorHAnsi" w:hAnsiTheme="majorHAnsi" w:cstheme="majorHAnsi"/>
          <w:sz w:val="22"/>
          <w:szCs w:val="22"/>
        </w:rPr>
        <w:t xml:space="preserve">. </w:t>
      </w:r>
    </w:p>
    <w:p w14:paraId="012CFBC7" w14:textId="77777777" w:rsidR="00010D71" w:rsidRPr="00010D71" w:rsidRDefault="00DC5FD4" w:rsidP="00010D71">
      <w:pPr>
        <w:pStyle w:val="Default"/>
        <w:jc w:val="both"/>
        <w:rPr>
          <w:rFonts w:asciiTheme="majorHAnsi" w:hAnsiTheme="majorHAnsi" w:cstheme="majorHAnsi"/>
          <w:sz w:val="22"/>
          <w:szCs w:val="22"/>
        </w:rPr>
      </w:pPr>
      <w:r>
        <w:rPr>
          <w:rFonts w:asciiTheme="majorHAnsi" w:hAnsiTheme="majorHAnsi" w:cstheme="majorHAnsi"/>
          <w:sz w:val="22"/>
          <w:szCs w:val="22"/>
        </w:rPr>
        <w:t xml:space="preserve">V analytické části Národní RIS3 strategie, byly </w:t>
      </w:r>
      <w:r w:rsidR="00010D71" w:rsidRPr="00010D71">
        <w:rPr>
          <w:rFonts w:asciiTheme="majorHAnsi" w:hAnsiTheme="majorHAnsi" w:cstheme="majorHAnsi"/>
          <w:sz w:val="22"/>
          <w:szCs w:val="22"/>
        </w:rPr>
        <w:t xml:space="preserve">identifikovány </w:t>
      </w:r>
      <w:r w:rsidR="00010D71" w:rsidRPr="00010D71">
        <w:rPr>
          <w:rFonts w:asciiTheme="majorHAnsi" w:hAnsiTheme="majorHAnsi" w:cstheme="majorHAnsi"/>
          <w:b/>
          <w:sz w:val="22"/>
          <w:szCs w:val="22"/>
        </w:rPr>
        <w:t>oblasti ekonomické specializace</w:t>
      </w:r>
      <w:r w:rsidR="00010D71" w:rsidRPr="00010D71">
        <w:rPr>
          <w:rFonts w:asciiTheme="majorHAnsi" w:hAnsiTheme="majorHAnsi" w:cstheme="majorHAnsi"/>
          <w:sz w:val="22"/>
          <w:szCs w:val="22"/>
        </w:rPr>
        <w:t>, v nichž ČR vykazuje nadprůměrný růstový potenciál</w:t>
      </w:r>
      <w:r>
        <w:rPr>
          <w:rFonts w:asciiTheme="majorHAnsi" w:hAnsiTheme="majorHAnsi" w:cstheme="majorHAnsi"/>
          <w:sz w:val="22"/>
          <w:szCs w:val="22"/>
        </w:rPr>
        <w:t>, a které je vhodné do budoucna v rámci RIS3 strategie rozvíjet a posilovat</w:t>
      </w:r>
      <w:r>
        <w:rPr>
          <w:rStyle w:val="Znakapoznpodarou"/>
          <w:rFonts w:asciiTheme="majorHAnsi" w:hAnsiTheme="majorHAnsi" w:cstheme="majorHAnsi"/>
          <w:sz w:val="22"/>
          <w:szCs w:val="22"/>
        </w:rPr>
        <w:footnoteReference w:id="33"/>
      </w:r>
      <w:r w:rsidR="00010D71" w:rsidRPr="00010D71">
        <w:rPr>
          <w:rFonts w:asciiTheme="majorHAnsi" w:hAnsiTheme="majorHAnsi" w:cstheme="majorHAnsi"/>
          <w:sz w:val="22"/>
          <w:szCs w:val="22"/>
        </w:rPr>
        <w:t>:</w:t>
      </w:r>
    </w:p>
    <w:p w14:paraId="35C3C481" w14:textId="77777777" w:rsidR="00010D71" w:rsidRPr="00010D71" w:rsidRDefault="00010D71" w:rsidP="00D10F0D">
      <w:pPr>
        <w:pStyle w:val="Default"/>
        <w:numPr>
          <w:ilvl w:val="0"/>
          <w:numId w:val="14"/>
        </w:numPr>
        <w:spacing w:before="0" w:after="0" w:line="240" w:lineRule="auto"/>
        <w:rPr>
          <w:rFonts w:asciiTheme="majorHAnsi" w:hAnsiTheme="majorHAnsi" w:cstheme="majorHAnsi"/>
          <w:sz w:val="22"/>
          <w:szCs w:val="22"/>
        </w:rPr>
      </w:pPr>
      <w:r w:rsidRPr="00010D71">
        <w:rPr>
          <w:rFonts w:asciiTheme="majorHAnsi" w:hAnsiTheme="majorHAnsi" w:cstheme="majorHAnsi"/>
          <w:sz w:val="22"/>
          <w:szCs w:val="22"/>
        </w:rPr>
        <w:t xml:space="preserve">výroba dopravních prostředků a zařízení, </w:t>
      </w:r>
    </w:p>
    <w:p w14:paraId="32566015" w14:textId="77777777" w:rsidR="00010D71" w:rsidRPr="00010D71" w:rsidRDefault="00010D71" w:rsidP="00D10F0D">
      <w:pPr>
        <w:pStyle w:val="Default"/>
        <w:numPr>
          <w:ilvl w:val="0"/>
          <w:numId w:val="14"/>
        </w:numPr>
        <w:spacing w:before="0" w:after="0" w:line="240" w:lineRule="auto"/>
        <w:rPr>
          <w:rFonts w:asciiTheme="majorHAnsi" w:hAnsiTheme="majorHAnsi" w:cstheme="majorHAnsi"/>
          <w:sz w:val="22"/>
          <w:szCs w:val="22"/>
        </w:rPr>
      </w:pPr>
      <w:r w:rsidRPr="00010D71">
        <w:rPr>
          <w:rFonts w:asciiTheme="majorHAnsi" w:hAnsiTheme="majorHAnsi" w:cstheme="majorHAnsi"/>
          <w:sz w:val="22"/>
          <w:szCs w:val="22"/>
        </w:rPr>
        <w:t xml:space="preserve">strojírenství, </w:t>
      </w:r>
    </w:p>
    <w:p w14:paraId="36B0D50E" w14:textId="77777777" w:rsidR="00010D71" w:rsidRPr="00010D71" w:rsidRDefault="00010D71" w:rsidP="00D10F0D">
      <w:pPr>
        <w:pStyle w:val="Default"/>
        <w:numPr>
          <w:ilvl w:val="0"/>
          <w:numId w:val="14"/>
        </w:numPr>
        <w:spacing w:before="0" w:after="0" w:line="240" w:lineRule="auto"/>
        <w:rPr>
          <w:rFonts w:asciiTheme="majorHAnsi" w:hAnsiTheme="majorHAnsi" w:cstheme="majorHAnsi"/>
          <w:sz w:val="22"/>
          <w:szCs w:val="22"/>
        </w:rPr>
      </w:pPr>
      <w:r w:rsidRPr="00010D71">
        <w:rPr>
          <w:rFonts w:asciiTheme="majorHAnsi" w:hAnsiTheme="majorHAnsi" w:cstheme="majorHAnsi"/>
          <w:sz w:val="22"/>
          <w:szCs w:val="22"/>
        </w:rPr>
        <w:t xml:space="preserve">elektronika a elektrotechnika, </w:t>
      </w:r>
    </w:p>
    <w:p w14:paraId="38EA423E" w14:textId="77777777" w:rsidR="00010D71" w:rsidRPr="00010D71" w:rsidRDefault="00010D71" w:rsidP="00D10F0D">
      <w:pPr>
        <w:pStyle w:val="Default"/>
        <w:numPr>
          <w:ilvl w:val="0"/>
          <w:numId w:val="14"/>
        </w:numPr>
        <w:spacing w:before="0" w:after="0" w:line="240" w:lineRule="auto"/>
        <w:rPr>
          <w:rFonts w:asciiTheme="majorHAnsi" w:hAnsiTheme="majorHAnsi" w:cstheme="majorHAnsi"/>
          <w:sz w:val="22"/>
          <w:szCs w:val="22"/>
        </w:rPr>
      </w:pPr>
      <w:r w:rsidRPr="00010D71">
        <w:rPr>
          <w:rFonts w:asciiTheme="majorHAnsi" w:hAnsiTheme="majorHAnsi" w:cstheme="majorHAnsi"/>
          <w:sz w:val="22"/>
          <w:szCs w:val="22"/>
        </w:rPr>
        <w:t xml:space="preserve">IT služby a software, </w:t>
      </w:r>
    </w:p>
    <w:p w14:paraId="0DFC1B4B" w14:textId="77777777" w:rsidR="00010D71" w:rsidRPr="00010D71" w:rsidRDefault="00010D71" w:rsidP="00D10F0D">
      <w:pPr>
        <w:pStyle w:val="Default"/>
        <w:numPr>
          <w:ilvl w:val="0"/>
          <w:numId w:val="14"/>
        </w:numPr>
        <w:spacing w:before="0" w:after="0" w:line="240" w:lineRule="auto"/>
        <w:rPr>
          <w:rFonts w:asciiTheme="majorHAnsi" w:hAnsiTheme="majorHAnsi" w:cstheme="majorHAnsi"/>
          <w:sz w:val="22"/>
          <w:szCs w:val="22"/>
        </w:rPr>
      </w:pPr>
      <w:r w:rsidRPr="00010D71">
        <w:rPr>
          <w:rFonts w:asciiTheme="majorHAnsi" w:hAnsiTheme="majorHAnsi" w:cstheme="majorHAnsi"/>
          <w:sz w:val="22"/>
          <w:szCs w:val="22"/>
        </w:rPr>
        <w:t xml:space="preserve">výroba a distribuce elektrické energie a </w:t>
      </w:r>
    </w:p>
    <w:p w14:paraId="1BAFCCC3" w14:textId="77777777" w:rsidR="00010D71" w:rsidRPr="00010D71" w:rsidRDefault="00010D71" w:rsidP="00D10F0D">
      <w:pPr>
        <w:pStyle w:val="Default"/>
        <w:numPr>
          <w:ilvl w:val="0"/>
          <w:numId w:val="14"/>
        </w:numPr>
        <w:spacing w:before="0" w:after="0" w:line="240" w:lineRule="auto"/>
        <w:rPr>
          <w:rFonts w:asciiTheme="majorHAnsi" w:hAnsiTheme="majorHAnsi" w:cstheme="majorHAnsi"/>
          <w:sz w:val="22"/>
          <w:szCs w:val="22"/>
        </w:rPr>
      </w:pPr>
      <w:r w:rsidRPr="00010D71">
        <w:rPr>
          <w:rFonts w:asciiTheme="majorHAnsi" w:hAnsiTheme="majorHAnsi" w:cstheme="majorHAnsi"/>
          <w:sz w:val="22"/>
          <w:szCs w:val="22"/>
        </w:rPr>
        <w:t>léčiva a zdravotnické prostředky a metody</w:t>
      </w:r>
    </w:p>
    <w:p w14:paraId="424F1760" w14:textId="77777777" w:rsidR="00010D71" w:rsidRPr="00010D71" w:rsidRDefault="00010D71" w:rsidP="00010D71">
      <w:pPr>
        <w:pStyle w:val="Default"/>
        <w:jc w:val="both"/>
        <w:rPr>
          <w:rFonts w:asciiTheme="majorHAnsi" w:hAnsiTheme="majorHAnsi" w:cstheme="majorHAnsi"/>
          <w:sz w:val="22"/>
          <w:szCs w:val="22"/>
        </w:rPr>
      </w:pPr>
      <w:r w:rsidRPr="00010D71">
        <w:rPr>
          <w:rFonts w:asciiTheme="majorHAnsi" w:hAnsiTheme="majorHAnsi" w:cstheme="majorHAnsi"/>
          <w:sz w:val="22"/>
          <w:szCs w:val="22"/>
        </w:rPr>
        <w:t xml:space="preserve">Kromě </w:t>
      </w:r>
      <w:r w:rsidR="00826B2C">
        <w:rPr>
          <w:rFonts w:asciiTheme="majorHAnsi" w:hAnsiTheme="majorHAnsi" w:cstheme="majorHAnsi"/>
          <w:sz w:val="22"/>
          <w:szCs w:val="22"/>
        </w:rPr>
        <w:t xml:space="preserve">výše uvedených </w:t>
      </w:r>
      <w:r w:rsidRPr="00010D71">
        <w:rPr>
          <w:rFonts w:asciiTheme="majorHAnsi" w:hAnsiTheme="majorHAnsi" w:cstheme="majorHAnsi"/>
          <w:sz w:val="22"/>
          <w:szCs w:val="22"/>
        </w:rPr>
        <w:t xml:space="preserve">oblastí ekonomické specializace, odvozených od ekonomické a inovační dynamiky příslušných </w:t>
      </w:r>
      <w:r w:rsidRPr="002865A5">
        <w:rPr>
          <w:rFonts w:asciiTheme="majorHAnsi" w:hAnsiTheme="majorHAnsi" w:cstheme="majorHAnsi"/>
          <w:sz w:val="22"/>
          <w:szCs w:val="22"/>
        </w:rPr>
        <w:t>aplikačních odvětví</w:t>
      </w:r>
      <w:r w:rsidRPr="00010D71">
        <w:rPr>
          <w:rFonts w:asciiTheme="majorHAnsi" w:hAnsiTheme="majorHAnsi" w:cstheme="majorHAnsi"/>
          <w:sz w:val="22"/>
          <w:szCs w:val="22"/>
        </w:rPr>
        <w:t xml:space="preserve"> byla v podmínkách charakteristických pro tvorbu strategií v ČR doplněna oblast, kde </w:t>
      </w:r>
      <w:r w:rsidR="00826B2C">
        <w:rPr>
          <w:rFonts w:asciiTheme="majorHAnsi" w:hAnsiTheme="majorHAnsi" w:cstheme="majorHAnsi"/>
          <w:sz w:val="22"/>
          <w:szCs w:val="22"/>
        </w:rPr>
        <w:t xml:space="preserve">sice </w:t>
      </w:r>
      <w:r w:rsidRPr="002865A5">
        <w:rPr>
          <w:rFonts w:asciiTheme="majorHAnsi" w:hAnsiTheme="majorHAnsi" w:cstheme="majorHAnsi"/>
          <w:b/>
          <w:sz w:val="22"/>
          <w:szCs w:val="22"/>
        </w:rPr>
        <w:t>neexistuje bezprostřední komparativní výhoda</w:t>
      </w:r>
      <w:r w:rsidRPr="00010D71">
        <w:rPr>
          <w:rFonts w:asciiTheme="majorHAnsi" w:hAnsiTheme="majorHAnsi" w:cstheme="majorHAnsi"/>
          <w:sz w:val="22"/>
          <w:szCs w:val="22"/>
        </w:rPr>
        <w:t xml:space="preserve"> ČR v mezinárodním měřítku, ale jde o „kritickou oblast nezbytnou pro předcházení rizik“ a kde je zřejmá „potřeba inovací“:</w:t>
      </w:r>
    </w:p>
    <w:p w14:paraId="6F40A31A" w14:textId="77777777" w:rsidR="00010D71" w:rsidRPr="00010D71" w:rsidRDefault="00010D71" w:rsidP="00D10F0D">
      <w:pPr>
        <w:pStyle w:val="Default"/>
        <w:numPr>
          <w:ilvl w:val="0"/>
          <w:numId w:val="15"/>
        </w:numPr>
        <w:spacing w:before="0" w:after="0" w:line="240" w:lineRule="auto"/>
        <w:rPr>
          <w:rFonts w:asciiTheme="majorHAnsi" w:hAnsiTheme="majorHAnsi" w:cstheme="majorHAnsi"/>
          <w:sz w:val="22"/>
          <w:szCs w:val="22"/>
        </w:rPr>
      </w:pPr>
      <w:r w:rsidRPr="00010D71">
        <w:rPr>
          <w:rFonts w:asciiTheme="majorHAnsi" w:hAnsiTheme="majorHAnsi" w:cstheme="majorHAnsi"/>
          <w:sz w:val="22"/>
          <w:szCs w:val="22"/>
        </w:rPr>
        <w:t>Přírodní zdroje, zemědělství a potravinářství</w:t>
      </w:r>
    </w:p>
    <w:p w14:paraId="1DBE057F" w14:textId="77777777" w:rsidR="00010D71" w:rsidRPr="00010D71" w:rsidRDefault="00010D71" w:rsidP="00DC5FD4">
      <w:pPr>
        <w:pStyle w:val="Default"/>
        <w:jc w:val="both"/>
        <w:rPr>
          <w:rFonts w:asciiTheme="majorHAnsi" w:hAnsiTheme="majorHAnsi" w:cstheme="majorHAnsi"/>
          <w:sz w:val="22"/>
          <w:szCs w:val="22"/>
        </w:rPr>
      </w:pPr>
      <w:r w:rsidRPr="00010D71">
        <w:rPr>
          <w:rFonts w:asciiTheme="majorHAnsi" w:hAnsiTheme="majorHAnsi" w:cstheme="majorHAnsi"/>
          <w:sz w:val="22"/>
          <w:szCs w:val="22"/>
        </w:rPr>
        <w:t>Proces defokusace ekonomické specializace v Národní RIS3 strategii byl završen zahrnutím dalších „regionálně významných aplikačních odvětví“:</w:t>
      </w:r>
    </w:p>
    <w:p w14:paraId="1DE5A617" w14:textId="77777777" w:rsidR="00010D71" w:rsidRPr="00010D71" w:rsidRDefault="00010D71" w:rsidP="00D10F0D">
      <w:pPr>
        <w:pStyle w:val="Default"/>
        <w:numPr>
          <w:ilvl w:val="0"/>
          <w:numId w:val="15"/>
        </w:numPr>
        <w:spacing w:before="0" w:after="0" w:line="240" w:lineRule="auto"/>
        <w:rPr>
          <w:rFonts w:asciiTheme="majorHAnsi" w:hAnsiTheme="majorHAnsi" w:cstheme="majorHAnsi"/>
          <w:sz w:val="22"/>
          <w:szCs w:val="22"/>
        </w:rPr>
      </w:pPr>
      <w:r w:rsidRPr="00010D71">
        <w:rPr>
          <w:rFonts w:asciiTheme="majorHAnsi" w:hAnsiTheme="majorHAnsi" w:cstheme="majorHAnsi"/>
          <w:sz w:val="22"/>
          <w:szCs w:val="22"/>
        </w:rPr>
        <w:t>Chemie a chemický průmysl</w:t>
      </w:r>
    </w:p>
    <w:p w14:paraId="0E2188BD" w14:textId="77777777" w:rsidR="00010D71" w:rsidRPr="00010D71" w:rsidRDefault="00010D71" w:rsidP="00D10F0D">
      <w:pPr>
        <w:pStyle w:val="Default"/>
        <w:numPr>
          <w:ilvl w:val="0"/>
          <w:numId w:val="15"/>
        </w:numPr>
        <w:spacing w:before="0" w:after="0" w:line="240" w:lineRule="auto"/>
        <w:rPr>
          <w:rFonts w:asciiTheme="majorHAnsi" w:hAnsiTheme="majorHAnsi" w:cstheme="majorHAnsi"/>
          <w:sz w:val="22"/>
          <w:szCs w:val="22"/>
        </w:rPr>
      </w:pPr>
      <w:r w:rsidRPr="00010D71">
        <w:rPr>
          <w:rFonts w:asciiTheme="majorHAnsi" w:hAnsiTheme="majorHAnsi" w:cstheme="majorHAnsi"/>
          <w:sz w:val="22"/>
          <w:szCs w:val="22"/>
        </w:rPr>
        <w:t>Sklářství, keramika</w:t>
      </w:r>
    </w:p>
    <w:p w14:paraId="37877FF8" w14:textId="77777777" w:rsidR="00010D71" w:rsidRPr="00010D71" w:rsidRDefault="00010D71" w:rsidP="00D10F0D">
      <w:pPr>
        <w:pStyle w:val="Default"/>
        <w:numPr>
          <w:ilvl w:val="0"/>
          <w:numId w:val="15"/>
        </w:numPr>
        <w:spacing w:before="0" w:after="0" w:line="240" w:lineRule="auto"/>
        <w:rPr>
          <w:rFonts w:asciiTheme="majorHAnsi" w:hAnsiTheme="majorHAnsi" w:cstheme="majorHAnsi"/>
          <w:sz w:val="22"/>
          <w:szCs w:val="22"/>
        </w:rPr>
      </w:pPr>
      <w:r w:rsidRPr="00010D71">
        <w:rPr>
          <w:rFonts w:asciiTheme="majorHAnsi" w:hAnsiTheme="majorHAnsi" w:cstheme="majorHAnsi"/>
          <w:sz w:val="22"/>
          <w:szCs w:val="22"/>
        </w:rPr>
        <w:t>Gumárenství a plastikářství</w:t>
      </w:r>
    </w:p>
    <w:p w14:paraId="6445279B" w14:textId="77777777" w:rsidR="00010D71" w:rsidRPr="00010D71" w:rsidRDefault="00010D71" w:rsidP="00D10F0D">
      <w:pPr>
        <w:pStyle w:val="Default"/>
        <w:numPr>
          <w:ilvl w:val="0"/>
          <w:numId w:val="15"/>
        </w:numPr>
        <w:spacing w:before="0" w:after="0" w:line="240" w:lineRule="auto"/>
        <w:rPr>
          <w:rFonts w:asciiTheme="majorHAnsi" w:hAnsiTheme="majorHAnsi" w:cstheme="majorHAnsi"/>
          <w:sz w:val="22"/>
          <w:szCs w:val="22"/>
        </w:rPr>
      </w:pPr>
      <w:r w:rsidRPr="00010D71">
        <w:rPr>
          <w:rFonts w:asciiTheme="majorHAnsi" w:hAnsiTheme="majorHAnsi" w:cstheme="majorHAnsi"/>
          <w:sz w:val="22"/>
          <w:szCs w:val="22"/>
        </w:rPr>
        <w:t xml:space="preserve">Média </w:t>
      </w:r>
    </w:p>
    <w:p w14:paraId="4C0D4F55" w14:textId="77777777" w:rsidR="00010D71" w:rsidRPr="00010D71" w:rsidRDefault="00010D71" w:rsidP="00D10F0D">
      <w:pPr>
        <w:pStyle w:val="Default"/>
        <w:numPr>
          <w:ilvl w:val="0"/>
          <w:numId w:val="15"/>
        </w:numPr>
        <w:spacing w:before="0" w:after="0" w:line="240" w:lineRule="auto"/>
        <w:rPr>
          <w:rFonts w:asciiTheme="majorHAnsi" w:hAnsiTheme="majorHAnsi" w:cstheme="majorHAnsi"/>
          <w:sz w:val="22"/>
          <w:szCs w:val="22"/>
        </w:rPr>
      </w:pPr>
      <w:r w:rsidRPr="00010D71">
        <w:rPr>
          <w:rFonts w:asciiTheme="majorHAnsi" w:hAnsiTheme="majorHAnsi" w:cstheme="majorHAnsi"/>
          <w:sz w:val="22"/>
          <w:szCs w:val="22"/>
        </w:rPr>
        <w:t>Textil</w:t>
      </w:r>
    </w:p>
    <w:p w14:paraId="35A94A8B" w14:textId="77777777" w:rsidR="00010D71" w:rsidRPr="00010D71" w:rsidRDefault="00144DBE" w:rsidP="00423C0E">
      <w:pPr>
        <w:autoSpaceDE w:val="0"/>
        <w:autoSpaceDN w:val="0"/>
        <w:adjustRightInd w:val="0"/>
        <w:spacing w:before="0" w:after="0" w:line="240" w:lineRule="auto"/>
        <w:rPr>
          <w:rFonts w:asciiTheme="majorHAnsi" w:hAnsiTheme="majorHAnsi" w:cstheme="majorHAnsi"/>
          <w:szCs w:val="22"/>
          <w:lang w:bidi="ar-SA"/>
        </w:rPr>
      </w:pPr>
      <w:r w:rsidRPr="00010D71">
        <w:rPr>
          <w:rFonts w:asciiTheme="majorHAnsi" w:hAnsiTheme="majorHAnsi" w:cstheme="majorHAnsi"/>
          <w:szCs w:val="22"/>
          <w:lang w:bidi="ar-SA"/>
        </w:rPr>
        <w:t xml:space="preserve"> </w:t>
      </w:r>
    </w:p>
    <w:p w14:paraId="3A9D8818" w14:textId="77777777" w:rsidR="00010D71" w:rsidRDefault="00010D71" w:rsidP="00010D71">
      <w:r>
        <w:t>V aktualizaci Národní RIS3 strategie z prosince 2018 figuruje  2</w:t>
      </w:r>
      <w:r w:rsidR="008B356A">
        <w:t>4</w:t>
      </w:r>
      <w:r>
        <w:t xml:space="preserve"> aplikačních odvětví, </w:t>
      </w:r>
      <w:r w:rsidR="001C5512">
        <w:t>identifikovaných</w:t>
      </w:r>
      <w:r w:rsidR="00063776">
        <w:t xml:space="preserve"> prostřednictvím EDP procesu jako oblasti inteligentní specializace ČR</w:t>
      </w:r>
      <w:r w:rsidR="00063776">
        <w:rPr>
          <w:rStyle w:val="Znakapoznpodarou"/>
        </w:rPr>
        <w:footnoteReference w:id="34"/>
      </w:r>
      <w:r w:rsidR="00063776">
        <w:t xml:space="preserve">: </w:t>
      </w:r>
    </w:p>
    <w:p w14:paraId="487AD324" w14:textId="77777777" w:rsidR="00010D71" w:rsidRDefault="00010D71" w:rsidP="00D10F0D">
      <w:pPr>
        <w:pStyle w:val="Odstavecseseznamem"/>
        <w:numPr>
          <w:ilvl w:val="0"/>
          <w:numId w:val="16"/>
        </w:numPr>
        <w:spacing w:before="0"/>
        <w:jc w:val="left"/>
      </w:pPr>
      <w:r>
        <w:t>Strojírenství-mechatronika</w:t>
      </w:r>
    </w:p>
    <w:p w14:paraId="2B02DE6D" w14:textId="77777777" w:rsidR="00010D71" w:rsidRDefault="00010D71" w:rsidP="00D10F0D">
      <w:pPr>
        <w:pStyle w:val="Odstavecseseznamem"/>
        <w:numPr>
          <w:ilvl w:val="0"/>
          <w:numId w:val="16"/>
        </w:numPr>
        <w:spacing w:before="0"/>
        <w:jc w:val="left"/>
      </w:pPr>
      <w:r>
        <w:t>Hutnictví</w:t>
      </w:r>
    </w:p>
    <w:p w14:paraId="281BC6FA" w14:textId="77777777" w:rsidR="00010D71" w:rsidRDefault="00010D71" w:rsidP="00D10F0D">
      <w:pPr>
        <w:pStyle w:val="Odstavecseseznamem"/>
        <w:numPr>
          <w:ilvl w:val="0"/>
          <w:numId w:val="16"/>
        </w:numPr>
        <w:spacing w:before="0"/>
        <w:jc w:val="left"/>
      </w:pPr>
      <w:r>
        <w:t>Energetika</w:t>
      </w:r>
    </w:p>
    <w:p w14:paraId="4CAD3452" w14:textId="77777777" w:rsidR="00010D71" w:rsidRDefault="00010D71" w:rsidP="00D10F0D">
      <w:pPr>
        <w:pStyle w:val="Odstavecseseznamem"/>
        <w:numPr>
          <w:ilvl w:val="0"/>
          <w:numId w:val="16"/>
        </w:numPr>
        <w:spacing w:before="0"/>
        <w:jc w:val="left"/>
      </w:pPr>
      <w:r>
        <w:t>Průmyslová chemie</w:t>
      </w:r>
      <w:r w:rsidR="00AA0BC7">
        <w:t xml:space="preserve"> (dále členěné na </w:t>
      </w:r>
      <w:r w:rsidR="008B356A">
        <w:t>G</w:t>
      </w:r>
      <w:r w:rsidR="00AA0BC7">
        <w:t xml:space="preserve">umárenství </w:t>
      </w:r>
      <w:r w:rsidR="008B356A">
        <w:t>a plastikářství a</w:t>
      </w:r>
      <w:r w:rsidR="00AA0BC7">
        <w:t xml:space="preserve"> Chemii a chemický průmysl)</w:t>
      </w:r>
    </w:p>
    <w:p w14:paraId="2BBCFCEA" w14:textId="77777777" w:rsidR="00010D71" w:rsidRDefault="00010D71" w:rsidP="00D10F0D">
      <w:pPr>
        <w:pStyle w:val="Odstavecseseznamem"/>
        <w:numPr>
          <w:ilvl w:val="0"/>
          <w:numId w:val="16"/>
        </w:numPr>
        <w:spacing w:before="0"/>
        <w:jc w:val="left"/>
      </w:pPr>
      <w:r>
        <w:lastRenderedPageBreak/>
        <w:t xml:space="preserve">Elektronika a elektrotechnika v digitálním věku </w:t>
      </w:r>
    </w:p>
    <w:p w14:paraId="0C3F6FA8" w14:textId="77777777" w:rsidR="00010D71" w:rsidRDefault="00010D71" w:rsidP="00D10F0D">
      <w:pPr>
        <w:pStyle w:val="Odstavecseseznamem"/>
        <w:numPr>
          <w:ilvl w:val="0"/>
          <w:numId w:val="16"/>
        </w:numPr>
        <w:spacing w:before="0"/>
        <w:jc w:val="left"/>
      </w:pPr>
      <w:r>
        <w:t>Digitální ekonomika a digitální obsah</w:t>
      </w:r>
    </w:p>
    <w:p w14:paraId="78AB40EB" w14:textId="77777777" w:rsidR="00010D71" w:rsidRDefault="00010D71" w:rsidP="00D10F0D">
      <w:pPr>
        <w:pStyle w:val="Odstavecseseznamem"/>
        <w:numPr>
          <w:ilvl w:val="0"/>
          <w:numId w:val="16"/>
        </w:numPr>
        <w:spacing w:before="0"/>
        <w:jc w:val="left"/>
      </w:pPr>
      <w:r>
        <w:t>Automotive</w:t>
      </w:r>
    </w:p>
    <w:p w14:paraId="5CE65CBF" w14:textId="77777777" w:rsidR="00010D71" w:rsidRDefault="00010D71" w:rsidP="00D10F0D">
      <w:pPr>
        <w:pStyle w:val="Odstavecseseznamem"/>
        <w:numPr>
          <w:ilvl w:val="0"/>
          <w:numId w:val="16"/>
        </w:numPr>
        <w:spacing w:before="0"/>
        <w:jc w:val="left"/>
      </w:pPr>
      <w:r>
        <w:t>Železniční a kolejová vozidla</w:t>
      </w:r>
    </w:p>
    <w:p w14:paraId="0C810274" w14:textId="77777777" w:rsidR="00010D71" w:rsidRDefault="00010D71" w:rsidP="00D10F0D">
      <w:pPr>
        <w:pStyle w:val="Odstavecseseznamem"/>
        <w:numPr>
          <w:ilvl w:val="0"/>
          <w:numId w:val="16"/>
        </w:numPr>
        <w:spacing w:before="0"/>
        <w:jc w:val="left"/>
      </w:pPr>
      <w:r>
        <w:t>Letecký a kosmický průmysl</w:t>
      </w:r>
    </w:p>
    <w:p w14:paraId="4C47C14E" w14:textId="77777777" w:rsidR="00010D71" w:rsidRDefault="00010D71" w:rsidP="00D10F0D">
      <w:pPr>
        <w:pStyle w:val="Odstavecseseznamem"/>
        <w:numPr>
          <w:ilvl w:val="0"/>
          <w:numId w:val="16"/>
        </w:numPr>
        <w:spacing w:before="0"/>
        <w:jc w:val="left"/>
      </w:pPr>
      <w:r>
        <w:t xml:space="preserve">Léčiva, biotechnologie, prostředky zdravotnické techniky a Life Sciences </w:t>
      </w:r>
    </w:p>
    <w:p w14:paraId="77CFAAC5" w14:textId="77777777" w:rsidR="00010D71" w:rsidRDefault="00010D71" w:rsidP="00D10F0D">
      <w:pPr>
        <w:pStyle w:val="Odstavecseseznamem"/>
        <w:numPr>
          <w:ilvl w:val="0"/>
          <w:numId w:val="16"/>
        </w:numPr>
        <w:spacing w:before="0"/>
        <w:jc w:val="left"/>
      </w:pPr>
      <w:r>
        <w:t>Tradiční kulturní a kreativní odvětví</w:t>
      </w:r>
    </w:p>
    <w:p w14:paraId="74D734CF" w14:textId="77777777" w:rsidR="00010D71" w:rsidRDefault="00010D71" w:rsidP="00D10F0D">
      <w:pPr>
        <w:pStyle w:val="Odstavecseseznamem"/>
        <w:numPr>
          <w:ilvl w:val="0"/>
          <w:numId w:val="16"/>
        </w:numPr>
        <w:spacing w:before="0"/>
        <w:jc w:val="left"/>
      </w:pPr>
      <w:r>
        <w:t>Nová kulturní a kreativní odvětví</w:t>
      </w:r>
    </w:p>
    <w:p w14:paraId="7F11E31B" w14:textId="77777777" w:rsidR="00010D71" w:rsidRDefault="00010D71" w:rsidP="00D10F0D">
      <w:pPr>
        <w:pStyle w:val="Odstavecseseznamem"/>
        <w:numPr>
          <w:ilvl w:val="0"/>
          <w:numId w:val="16"/>
        </w:numPr>
        <w:spacing w:before="0"/>
        <w:jc w:val="left"/>
      </w:pPr>
      <w:r>
        <w:t>Udržitelné hospodaření s přírodními zdroji</w:t>
      </w:r>
    </w:p>
    <w:p w14:paraId="6C427107" w14:textId="77777777" w:rsidR="00010D71" w:rsidRDefault="00010D71" w:rsidP="00D10F0D">
      <w:pPr>
        <w:pStyle w:val="Odstavecseseznamem"/>
        <w:numPr>
          <w:ilvl w:val="0"/>
          <w:numId w:val="16"/>
        </w:numPr>
        <w:spacing w:before="0"/>
        <w:jc w:val="left"/>
      </w:pPr>
      <w:r>
        <w:t>Udržitelné zemědělství a lesnictví</w:t>
      </w:r>
    </w:p>
    <w:p w14:paraId="4BF6FAE0" w14:textId="77777777" w:rsidR="00010D71" w:rsidRDefault="00010D71" w:rsidP="00D10F0D">
      <w:pPr>
        <w:pStyle w:val="Odstavecseseznamem"/>
        <w:numPr>
          <w:ilvl w:val="0"/>
          <w:numId w:val="16"/>
        </w:numPr>
        <w:spacing w:before="0"/>
        <w:jc w:val="left"/>
      </w:pPr>
      <w:r>
        <w:t>Udržitelná produkce potravin</w:t>
      </w:r>
    </w:p>
    <w:p w14:paraId="5D033B6A" w14:textId="77777777" w:rsidR="00010D71" w:rsidRDefault="00010D71" w:rsidP="00D10F0D">
      <w:pPr>
        <w:pStyle w:val="Odstavecseseznamem"/>
        <w:numPr>
          <w:ilvl w:val="0"/>
          <w:numId w:val="16"/>
        </w:numPr>
        <w:spacing w:before="0"/>
        <w:jc w:val="left"/>
      </w:pPr>
      <w:r>
        <w:t>Zajištění zdravého a kvalitního životního prostředí, biodiverzity a ekologie přírodních zdrojů</w:t>
      </w:r>
    </w:p>
    <w:p w14:paraId="600B3BC1" w14:textId="77777777" w:rsidR="00010D71" w:rsidRDefault="00A12234" w:rsidP="00D10F0D">
      <w:pPr>
        <w:pStyle w:val="Odstavecseseznamem"/>
        <w:numPr>
          <w:ilvl w:val="0"/>
          <w:numId w:val="16"/>
        </w:numPr>
        <w:spacing w:before="0"/>
        <w:jc w:val="left"/>
      </w:pPr>
      <w:r>
        <w:t>(</w:t>
      </w:r>
      <w:r w:rsidR="00010D71">
        <w:t>Udržitelná výstavba, lidská sídla a technická ochrana životního prostředí</w:t>
      </w:r>
      <w:r>
        <w:t>)</w:t>
      </w:r>
    </w:p>
    <w:p w14:paraId="2A004AAF" w14:textId="77777777" w:rsidR="00010D71" w:rsidRDefault="00010D71" w:rsidP="00D10F0D">
      <w:pPr>
        <w:pStyle w:val="Odstavecseseznamem"/>
        <w:numPr>
          <w:ilvl w:val="0"/>
          <w:numId w:val="16"/>
        </w:numPr>
        <w:spacing w:before="0"/>
        <w:jc w:val="left"/>
      </w:pPr>
      <w:r>
        <w:t>Bezpečnostní výzkum</w:t>
      </w:r>
    </w:p>
    <w:p w14:paraId="683DE0CE" w14:textId="77777777" w:rsidR="00010D71" w:rsidRDefault="00A12234" w:rsidP="00D10F0D">
      <w:pPr>
        <w:pStyle w:val="Odstavecseseznamem"/>
        <w:numPr>
          <w:ilvl w:val="0"/>
          <w:numId w:val="16"/>
        </w:numPr>
        <w:spacing w:before="0"/>
        <w:jc w:val="left"/>
      </w:pPr>
      <w:r>
        <w:t>(</w:t>
      </w:r>
      <w:r w:rsidR="00010D71">
        <w:t>Výzkum ve zdravotnictví</w:t>
      </w:r>
      <w:r>
        <w:t>)</w:t>
      </w:r>
    </w:p>
    <w:p w14:paraId="28E638BF" w14:textId="77777777" w:rsidR="00010D71" w:rsidRDefault="00A12234" w:rsidP="00D10F0D">
      <w:pPr>
        <w:pStyle w:val="Odstavecseseznamem"/>
        <w:numPr>
          <w:ilvl w:val="0"/>
          <w:numId w:val="16"/>
        </w:numPr>
        <w:spacing w:before="0"/>
        <w:jc w:val="left"/>
      </w:pPr>
      <w:r>
        <w:t>(</w:t>
      </w:r>
      <w:r w:rsidR="00010D71">
        <w:t>Práce, sociální služby a důchodový systém</w:t>
      </w:r>
      <w:r>
        <w:t>)</w:t>
      </w:r>
    </w:p>
    <w:p w14:paraId="231BBF2C" w14:textId="77777777" w:rsidR="00010D71" w:rsidRDefault="00A12234" w:rsidP="00D10F0D">
      <w:pPr>
        <w:pStyle w:val="Odstavecseseznamem"/>
        <w:numPr>
          <w:ilvl w:val="0"/>
          <w:numId w:val="16"/>
        </w:numPr>
        <w:spacing w:before="0"/>
        <w:jc w:val="left"/>
      </w:pPr>
      <w:r>
        <w:t>(</w:t>
      </w:r>
      <w:r w:rsidR="00010D71">
        <w:t>Balneologie a lázeňství</w:t>
      </w:r>
      <w:r>
        <w:t>)</w:t>
      </w:r>
    </w:p>
    <w:p w14:paraId="7A81AEE8" w14:textId="77777777" w:rsidR="00010D71" w:rsidRDefault="00010D71" w:rsidP="00D10F0D">
      <w:pPr>
        <w:pStyle w:val="Odstavecseseznamem"/>
        <w:numPr>
          <w:ilvl w:val="0"/>
          <w:numId w:val="16"/>
        </w:numPr>
        <w:spacing w:before="0"/>
        <w:jc w:val="left"/>
      </w:pPr>
      <w:r>
        <w:t>Sklářství a keramika</w:t>
      </w:r>
    </w:p>
    <w:p w14:paraId="5C1FF5C3" w14:textId="77777777" w:rsidR="00010D71" w:rsidRDefault="00010D71" w:rsidP="00D10F0D">
      <w:pPr>
        <w:pStyle w:val="Odstavecseseznamem"/>
        <w:numPr>
          <w:ilvl w:val="0"/>
          <w:numId w:val="16"/>
        </w:numPr>
        <w:spacing w:before="0"/>
        <w:jc w:val="left"/>
      </w:pPr>
      <w:r>
        <w:t>Textil</w:t>
      </w:r>
    </w:p>
    <w:p w14:paraId="512420DE" w14:textId="77777777" w:rsidR="008B356A" w:rsidRDefault="00D338C3" w:rsidP="00803F4E">
      <w:pPr>
        <w:autoSpaceDE w:val="0"/>
        <w:autoSpaceDN w:val="0"/>
        <w:adjustRightInd w:val="0"/>
        <w:rPr>
          <w:lang w:bidi="ar-SA"/>
        </w:rPr>
      </w:pPr>
      <w:r>
        <w:rPr>
          <w:lang w:bidi="ar-SA"/>
        </w:rPr>
        <w:t xml:space="preserve">Do čtyř z výše uvedených aplikačních odvětví </w:t>
      </w:r>
      <w:r w:rsidR="00A12234">
        <w:rPr>
          <w:lang w:bidi="ar-SA"/>
        </w:rPr>
        <w:t>(uvedené v závorce) nebyl předložen žádný projekt s inovativním obsahem a ve velké části dalších byla podpora projektů minimální</w:t>
      </w:r>
      <w:r w:rsidR="002865A5">
        <w:rPr>
          <w:rStyle w:val="Znakapoznpodarou"/>
          <w:lang w:bidi="ar-SA"/>
        </w:rPr>
        <w:footnoteReference w:id="35"/>
      </w:r>
      <w:r w:rsidR="00A12234">
        <w:rPr>
          <w:lang w:bidi="ar-SA"/>
        </w:rPr>
        <w:t>.</w:t>
      </w:r>
    </w:p>
    <w:p w14:paraId="12EA4340" w14:textId="77777777" w:rsidR="00CB7D54" w:rsidRDefault="00010D71" w:rsidP="00803F4E">
      <w:pPr>
        <w:autoSpaceDE w:val="0"/>
        <w:autoSpaceDN w:val="0"/>
        <w:adjustRightInd w:val="0"/>
        <w:rPr>
          <w:lang w:bidi="ar-SA"/>
        </w:rPr>
      </w:pPr>
      <w:r>
        <w:rPr>
          <w:lang w:bidi="ar-SA"/>
        </w:rPr>
        <w:t>P</w:t>
      </w:r>
      <w:r w:rsidR="00E14BD8">
        <w:rPr>
          <w:lang w:bidi="ar-SA"/>
        </w:rPr>
        <w:t xml:space="preserve">okud </w:t>
      </w:r>
      <w:r w:rsidR="00803F4E">
        <w:rPr>
          <w:lang w:bidi="ar-SA"/>
        </w:rPr>
        <w:t xml:space="preserve">tedy </w:t>
      </w:r>
      <w:r w:rsidR="00E14BD8">
        <w:rPr>
          <w:lang w:bidi="ar-SA"/>
        </w:rPr>
        <w:t xml:space="preserve">bylo cílem definovat </w:t>
      </w:r>
      <w:r w:rsidR="00E14BD8" w:rsidRPr="00E14BD8">
        <w:rPr>
          <w:b/>
          <w:lang w:bidi="ar-SA"/>
        </w:rPr>
        <w:t>aplikační odvětví</w:t>
      </w:r>
      <w:r w:rsidR="00E14BD8">
        <w:rPr>
          <w:lang w:bidi="ar-SA"/>
        </w:rPr>
        <w:t xml:space="preserve">, v nichž </w:t>
      </w:r>
      <w:r w:rsidR="00803F4E" w:rsidRPr="002865A5">
        <w:rPr>
          <w:b/>
          <w:lang w:bidi="ar-SA"/>
        </w:rPr>
        <w:t>teoreticky</w:t>
      </w:r>
      <w:r w:rsidR="00803F4E">
        <w:rPr>
          <w:lang w:bidi="ar-SA"/>
        </w:rPr>
        <w:t xml:space="preserve"> </w:t>
      </w:r>
      <w:r w:rsidR="00E14BD8">
        <w:rPr>
          <w:lang w:bidi="ar-SA"/>
        </w:rPr>
        <w:t xml:space="preserve">mohou výsledky výzkumu ve znalostních doménách najít uplatnění, je současný výčet </w:t>
      </w:r>
      <w:r w:rsidR="00691ADE">
        <w:rPr>
          <w:lang w:bidi="ar-SA"/>
        </w:rPr>
        <w:t xml:space="preserve">v Národní </w:t>
      </w:r>
      <w:r w:rsidR="00E14BD8">
        <w:rPr>
          <w:lang w:bidi="ar-SA"/>
        </w:rPr>
        <w:t xml:space="preserve">RIS3 </w:t>
      </w:r>
      <w:r w:rsidR="00691ADE">
        <w:rPr>
          <w:lang w:bidi="ar-SA"/>
        </w:rPr>
        <w:t>strategii (</w:t>
      </w:r>
      <w:r w:rsidR="00E14BD8">
        <w:rPr>
          <w:lang w:bidi="ar-SA"/>
        </w:rPr>
        <w:t>2018) dostatečný a v daném stupni poznání jej není třeba rozšiřovat.</w:t>
      </w:r>
    </w:p>
    <w:p w14:paraId="4022B1C3" w14:textId="77777777" w:rsidR="001F4BE2" w:rsidRDefault="00691ADE" w:rsidP="00803F4E">
      <w:pPr>
        <w:rPr>
          <w:bCs/>
          <w:szCs w:val="22"/>
        </w:rPr>
      </w:pPr>
      <w:r w:rsidRPr="008014C9">
        <w:rPr>
          <w:bCs/>
          <w:szCs w:val="22"/>
        </w:rPr>
        <w:t xml:space="preserve">Evaluátor se však domnívá, že cílem </w:t>
      </w:r>
      <w:r w:rsidR="005001F0" w:rsidRPr="008014C9">
        <w:rPr>
          <w:bCs/>
          <w:szCs w:val="22"/>
        </w:rPr>
        <w:t xml:space="preserve">konceptu smart specialisation </w:t>
      </w:r>
      <w:r w:rsidRPr="008014C9">
        <w:rPr>
          <w:bCs/>
          <w:szCs w:val="22"/>
        </w:rPr>
        <w:t xml:space="preserve">není stanovit „absolutní výčet možného“. </w:t>
      </w:r>
      <w:r w:rsidR="005001F0" w:rsidRPr="008014C9">
        <w:rPr>
          <w:bCs/>
          <w:szCs w:val="22"/>
        </w:rPr>
        <w:t xml:space="preserve">Vycházíme-li z obsahu </w:t>
      </w:r>
      <w:r w:rsidR="00E14BD8" w:rsidRPr="008014C9">
        <w:rPr>
          <w:bCs/>
          <w:szCs w:val="22"/>
        </w:rPr>
        <w:t>termín</w:t>
      </w:r>
      <w:r w:rsidR="005001F0" w:rsidRPr="008014C9">
        <w:rPr>
          <w:bCs/>
          <w:szCs w:val="22"/>
        </w:rPr>
        <w:t>u</w:t>
      </w:r>
      <w:r w:rsidR="00E14BD8" w:rsidRPr="008014C9">
        <w:rPr>
          <w:bCs/>
          <w:szCs w:val="22"/>
        </w:rPr>
        <w:t xml:space="preserve"> </w:t>
      </w:r>
      <w:r w:rsidR="00E14BD8" w:rsidRPr="008014C9">
        <w:rPr>
          <w:b/>
          <w:bCs/>
          <w:szCs w:val="22"/>
        </w:rPr>
        <w:t>aplikační odvětví ekonomické specializace</w:t>
      </w:r>
      <w:r w:rsidR="008014C9" w:rsidRPr="008014C9">
        <w:rPr>
          <w:b/>
          <w:bCs/>
          <w:szCs w:val="22"/>
        </w:rPr>
        <w:t xml:space="preserve">, </w:t>
      </w:r>
      <w:r w:rsidR="008014C9" w:rsidRPr="008014C9">
        <w:rPr>
          <w:bCs/>
          <w:szCs w:val="22"/>
        </w:rPr>
        <w:t>pak</w:t>
      </w:r>
      <w:r w:rsidR="00E14BD8" w:rsidRPr="008014C9">
        <w:rPr>
          <w:bCs/>
          <w:szCs w:val="22"/>
        </w:rPr>
        <w:t xml:space="preserve"> </w:t>
      </w:r>
      <w:r w:rsidR="005001F0" w:rsidRPr="008014C9">
        <w:rPr>
          <w:bCs/>
          <w:szCs w:val="22"/>
        </w:rPr>
        <w:t xml:space="preserve">mělo dojít procesem EDP </w:t>
      </w:r>
      <w:r w:rsidR="008014C9" w:rsidRPr="008014C9">
        <w:rPr>
          <w:bCs/>
          <w:szCs w:val="22"/>
        </w:rPr>
        <w:t xml:space="preserve">(objevování </w:t>
      </w:r>
      <w:r w:rsidR="00B7284D">
        <w:rPr>
          <w:bCs/>
          <w:szCs w:val="22"/>
        </w:rPr>
        <w:t xml:space="preserve">podnikatelských </w:t>
      </w:r>
      <w:r w:rsidR="008014C9" w:rsidRPr="008014C9">
        <w:rPr>
          <w:bCs/>
          <w:szCs w:val="22"/>
        </w:rPr>
        <w:t xml:space="preserve">příležitostí) </w:t>
      </w:r>
      <w:r w:rsidR="009A02AB" w:rsidRPr="008014C9">
        <w:rPr>
          <w:bCs/>
          <w:szCs w:val="22"/>
        </w:rPr>
        <w:t>k</w:t>
      </w:r>
      <w:r w:rsidR="00CB7D54" w:rsidRPr="008014C9">
        <w:rPr>
          <w:bCs/>
          <w:szCs w:val="22"/>
        </w:rPr>
        <w:t>e</w:t>
      </w:r>
      <w:r w:rsidR="009A02AB" w:rsidRPr="008014C9">
        <w:rPr>
          <w:bCs/>
          <w:szCs w:val="22"/>
        </w:rPr>
        <w:t> </w:t>
      </w:r>
      <w:r w:rsidR="00CB7D54" w:rsidRPr="008014C9">
        <w:rPr>
          <w:bCs/>
          <w:szCs w:val="22"/>
        </w:rPr>
        <w:t>spec</w:t>
      </w:r>
      <w:r w:rsidR="009A02AB" w:rsidRPr="008014C9">
        <w:rPr>
          <w:bCs/>
          <w:szCs w:val="22"/>
        </w:rPr>
        <w:t xml:space="preserve">ifikaci </w:t>
      </w:r>
      <w:r w:rsidR="008014C9" w:rsidRPr="008014C9">
        <w:rPr>
          <w:bCs/>
          <w:szCs w:val="22"/>
        </w:rPr>
        <w:t>takových oblastí ekonomické specializace</w:t>
      </w:r>
      <w:r w:rsidR="009A02AB" w:rsidRPr="008014C9">
        <w:rPr>
          <w:bCs/>
          <w:szCs w:val="22"/>
        </w:rPr>
        <w:t xml:space="preserve">, v nichž lze identifikovat inovační </w:t>
      </w:r>
      <w:r w:rsidR="00E14BD8" w:rsidRPr="008014C9">
        <w:rPr>
          <w:bCs/>
          <w:szCs w:val="22"/>
        </w:rPr>
        <w:t>možnosti,</w:t>
      </w:r>
      <w:r w:rsidR="009A02AB" w:rsidRPr="008014C9">
        <w:rPr>
          <w:bCs/>
          <w:szCs w:val="22"/>
        </w:rPr>
        <w:t xml:space="preserve"> vycházející z</w:t>
      </w:r>
      <w:r w:rsidR="00E14BD8" w:rsidRPr="008014C9">
        <w:rPr>
          <w:bCs/>
          <w:szCs w:val="22"/>
        </w:rPr>
        <w:t> </w:t>
      </w:r>
      <w:r w:rsidR="00E14BD8" w:rsidRPr="008014C9">
        <w:rPr>
          <w:b/>
          <w:bCs/>
          <w:i/>
          <w:szCs w:val="22"/>
        </w:rPr>
        <w:t>reálné úrovně</w:t>
      </w:r>
      <w:r w:rsidR="00CB7D54" w:rsidRPr="008014C9">
        <w:rPr>
          <w:b/>
          <w:bCs/>
          <w:i/>
          <w:szCs w:val="22"/>
        </w:rPr>
        <w:t xml:space="preserve"> tuzemské výzkumné základny ve znalostních doménách</w:t>
      </w:r>
      <w:r w:rsidR="00CB7D54" w:rsidRPr="008014C9">
        <w:rPr>
          <w:bCs/>
          <w:szCs w:val="22"/>
        </w:rPr>
        <w:t xml:space="preserve"> ve spojení s </w:t>
      </w:r>
      <w:r w:rsidR="00CB7D54" w:rsidRPr="008014C9">
        <w:rPr>
          <w:b/>
          <w:bCs/>
          <w:i/>
          <w:szCs w:val="22"/>
        </w:rPr>
        <w:t>realizační základnou s nadprůměrným růstovým potenciálem</w:t>
      </w:r>
      <w:r w:rsidR="008014C9" w:rsidRPr="008014C9">
        <w:rPr>
          <w:b/>
          <w:bCs/>
          <w:i/>
          <w:szCs w:val="22"/>
        </w:rPr>
        <w:t>.</w:t>
      </w:r>
      <w:r w:rsidR="00CB7D54" w:rsidRPr="008014C9">
        <w:rPr>
          <w:bCs/>
          <w:szCs w:val="22"/>
        </w:rPr>
        <w:t xml:space="preserve"> </w:t>
      </w:r>
    </w:p>
    <w:p w14:paraId="0E0A5292" w14:textId="67C6C9B0" w:rsidR="00CB7D54" w:rsidRPr="00E14BD8" w:rsidRDefault="008014C9" w:rsidP="00803F4E">
      <w:pPr>
        <w:rPr>
          <w:bCs/>
          <w:szCs w:val="22"/>
        </w:rPr>
      </w:pPr>
      <w:r>
        <w:rPr>
          <w:bCs/>
          <w:szCs w:val="22"/>
        </w:rPr>
        <w:t xml:space="preserve">Přitom i v oblasti znalostních domén by mělo dojít k určité specializaci. </w:t>
      </w:r>
      <w:r w:rsidR="00EA22E0">
        <w:rPr>
          <w:bCs/>
          <w:szCs w:val="22"/>
        </w:rPr>
        <w:t>V</w:t>
      </w:r>
      <w:r w:rsidR="00CB7D54" w:rsidRPr="00E14BD8">
        <w:rPr>
          <w:bCs/>
          <w:szCs w:val="22"/>
        </w:rPr>
        <w:t xml:space="preserve">ýzkumné aktivity v ČR </w:t>
      </w:r>
      <w:r w:rsidR="00EA22E0">
        <w:rPr>
          <w:bCs/>
          <w:szCs w:val="22"/>
        </w:rPr>
        <w:t xml:space="preserve"> </w:t>
      </w:r>
      <w:r w:rsidR="00CB7D54" w:rsidRPr="00E14BD8">
        <w:rPr>
          <w:bCs/>
          <w:szCs w:val="22"/>
        </w:rPr>
        <w:t>pokrývají v určitém rozsahu všechny klíčové znalostní domény a výzkumná základna je schopna produkovat atraktivní výsledky a být kvalitním partnerem aplikační sféře</w:t>
      </w:r>
      <w:r w:rsidR="00CE4D39">
        <w:rPr>
          <w:bCs/>
          <w:szCs w:val="22"/>
        </w:rPr>
        <w:t xml:space="preserve">. </w:t>
      </w:r>
      <w:r w:rsidR="00D66776">
        <w:rPr>
          <w:bCs/>
          <w:szCs w:val="22"/>
        </w:rPr>
        <w:t xml:space="preserve">Při identifikaci výzkumných aktivit s největším potenciálem došla </w:t>
      </w:r>
      <w:r w:rsidR="00CE4D39">
        <w:rPr>
          <w:bCs/>
          <w:szCs w:val="22"/>
        </w:rPr>
        <w:t xml:space="preserve">Národní RIS3 strategie (2014) </w:t>
      </w:r>
      <w:r w:rsidR="00D66776">
        <w:rPr>
          <w:bCs/>
          <w:szCs w:val="22"/>
        </w:rPr>
        <w:t>k závěru</w:t>
      </w:r>
      <w:r w:rsidR="00CE4D39">
        <w:rPr>
          <w:bCs/>
          <w:szCs w:val="22"/>
        </w:rPr>
        <w:t>, že</w:t>
      </w:r>
      <w:r w:rsidR="005001F0">
        <w:rPr>
          <w:bCs/>
          <w:szCs w:val="22"/>
        </w:rPr>
        <w:t xml:space="preserve"> v</w:t>
      </w:r>
      <w:r w:rsidR="005147C3">
        <w:rPr>
          <w:bCs/>
          <w:szCs w:val="22"/>
        </w:rPr>
        <w:t> </w:t>
      </w:r>
      <w:r w:rsidR="00CB7D54" w:rsidRPr="00E14BD8">
        <w:rPr>
          <w:bCs/>
          <w:szCs w:val="22"/>
        </w:rPr>
        <w:t xml:space="preserve">mezinárodním srovnání </w:t>
      </w:r>
      <w:r w:rsidR="005001F0">
        <w:rPr>
          <w:bCs/>
          <w:szCs w:val="22"/>
        </w:rPr>
        <w:t>lze označit</w:t>
      </w:r>
      <w:r w:rsidR="00CB7D54" w:rsidRPr="00E14BD8">
        <w:rPr>
          <w:bCs/>
          <w:szCs w:val="22"/>
        </w:rPr>
        <w:t xml:space="preserve"> za znalostní domény s </w:t>
      </w:r>
      <w:r w:rsidR="00CB7D54" w:rsidRPr="001F4BE2">
        <w:rPr>
          <w:b/>
          <w:bCs/>
          <w:szCs w:val="22"/>
        </w:rPr>
        <w:t>nadprůměrnými parametry</w:t>
      </w:r>
      <w:r w:rsidR="00CB7D54" w:rsidRPr="00E14BD8">
        <w:rPr>
          <w:bCs/>
          <w:szCs w:val="22"/>
        </w:rPr>
        <w:t xml:space="preserve"> pouze fotoniku, pokročilé materiály a v menší míře i nanotechnologie</w:t>
      </w:r>
      <w:r w:rsidR="001F4BE2">
        <w:rPr>
          <w:rStyle w:val="Znakapoznpodarou"/>
          <w:bCs/>
          <w:szCs w:val="22"/>
        </w:rPr>
        <w:footnoteReference w:id="36"/>
      </w:r>
      <w:r w:rsidR="00CB7D54" w:rsidRPr="00E14BD8">
        <w:rPr>
          <w:bCs/>
          <w:szCs w:val="22"/>
        </w:rPr>
        <w:t>.</w:t>
      </w:r>
      <w:r w:rsidR="00D66776">
        <w:rPr>
          <w:bCs/>
          <w:szCs w:val="22"/>
        </w:rPr>
        <w:t xml:space="preserve"> Identifikace znalostních domén </w:t>
      </w:r>
      <w:r w:rsidR="00D66776">
        <w:rPr>
          <w:bCs/>
          <w:szCs w:val="22"/>
        </w:rPr>
        <w:lastRenderedPageBreak/>
        <w:t xml:space="preserve">s nadprůměrnými parametry je správným krokem, který je třeba v dalším období rozvíjet EDP procesem. </w:t>
      </w:r>
    </w:p>
    <w:p w14:paraId="3D0E5E84" w14:textId="77777777" w:rsidR="00EA22E0" w:rsidRDefault="00EA22E0" w:rsidP="00EA22E0">
      <w:pPr>
        <w:rPr>
          <w:bCs/>
          <w:szCs w:val="22"/>
        </w:rPr>
      </w:pPr>
      <w:r>
        <w:rPr>
          <w:bCs/>
          <w:szCs w:val="22"/>
        </w:rPr>
        <w:t>Ke specializaci výzkumných aktivit ČR zjevně nepovede množství témat a oblastí identifikovaných dosavadním EDP procesem, ale kritériem by měla být</w:t>
      </w:r>
      <w:r w:rsidR="00CB7D54" w:rsidRPr="00E14BD8">
        <w:rPr>
          <w:bCs/>
          <w:szCs w:val="22"/>
        </w:rPr>
        <w:t xml:space="preserve"> </w:t>
      </w:r>
      <w:r w:rsidRPr="00E14BD8">
        <w:rPr>
          <w:bCs/>
          <w:szCs w:val="22"/>
        </w:rPr>
        <w:t>bezprostřední vazb</w:t>
      </w:r>
      <w:r>
        <w:rPr>
          <w:bCs/>
          <w:szCs w:val="22"/>
        </w:rPr>
        <w:t xml:space="preserve">a na silná aplikační odvětví. </w:t>
      </w:r>
      <w:r w:rsidRPr="00E14BD8">
        <w:rPr>
          <w:bCs/>
          <w:szCs w:val="22"/>
        </w:rPr>
        <w:t xml:space="preserve"> </w:t>
      </w:r>
      <w:r>
        <w:rPr>
          <w:bCs/>
          <w:szCs w:val="22"/>
        </w:rPr>
        <w:t xml:space="preserve">EDP proces by měl identifikovat obory, </w:t>
      </w:r>
      <w:r w:rsidRPr="00D713E7">
        <w:rPr>
          <w:bCs/>
          <w:i/>
          <w:szCs w:val="22"/>
        </w:rPr>
        <w:t>v nichž existují na jedné straně silné výzkumné týmy</w:t>
      </w:r>
      <w:r w:rsidR="00D713E7" w:rsidRPr="00D713E7">
        <w:rPr>
          <w:bCs/>
          <w:i/>
          <w:szCs w:val="22"/>
        </w:rPr>
        <w:t xml:space="preserve"> a na druhé straně existují komplementární firmy v hospodářských odvětvích, kter</w:t>
      </w:r>
      <w:r w:rsidR="00F37428">
        <w:rPr>
          <w:bCs/>
          <w:i/>
          <w:szCs w:val="22"/>
        </w:rPr>
        <w:t>é</w:t>
      </w:r>
      <w:r w:rsidR="00D713E7" w:rsidRPr="00D713E7">
        <w:rPr>
          <w:bCs/>
          <w:i/>
          <w:szCs w:val="22"/>
        </w:rPr>
        <w:t xml:space="preserve"> vykazují pozitivní dynamiku v podobě exportu a investic do VaV a lze u nich předpokládat zájem o využití výsledků výzkumných organizací</w:t>
      </w:r>
      <w:r w:rsidR="00D713E7">
        <w:rPr>
          <w:bCs/>
          <w:szCs w:val="22"/>
        </w:rPr>
        <w:t>.</w:t>
      </w:r>
      <w:r w:rsidR="00D713E7">
        <w:rPr>
          <w:rStyle w:val="Znakapoznpodarou"/>
          <w:bCs/>
          <w:szCs w:val="22"/>
        </w:rPr>
        <w:footnoteReference w:id="37"/>
      </w:r>
    </w:p>
    <w:p w14:paraId="6B4CBF9F" w14:textId="77777777" w:rsidR="00D713E7" w:rsidRPr="00D713E7" w:rsidRDefault="00D713E7" w:rsidP="008014C9">
      <w:pPr>
        <w:rPr>
          <w:bCs/>
          <w:szCs w:val="22"/>
        </w:rPr>
      </w:pPr>
      <w:r w:rsidRPr="00D713E7">
        <w:rPr>
          <w:bCs/>
          <w:szCs w:val="22"/>
        </w:rPr>
        <w:t>Priority</w:t>
      </w:r>
      <w:r>
        <w:rPr>
          <w:bCs/>
          <w:szCs w:val="22"/>
        </w:rPr>
        <w:t xml:space="preserve"> výzkumu, vývoje a inovací</w:t>
      </w:r>
      <w:r w:rsidR="00F37428">
        <w:rPr>
          <w:bCs/>
          <w:szCs w:val="22"/>
        </w:rPr>
        <w:t xml:space="preserve"> zjištěné prostřednictvím EDP </w:t>
      </w:r>
      <w:r w:rsidR="008A5C94">
        <w:rPr>
          <w:bCs/>
          <w:szCs w:val="22"/>
        </w:rPr>
        <w:t xml:space="preserve">procesu </w:t>
      </w:r>
      <w:r w:rsidR="00F37428">
        <w:rPr>
          <w:bCs/>
          <w:szCs w:val="22"/>
        </w:rPr>
        <w:t xml:space="preserve">v rámci Národních inovačních platforem, uvedené v Národní RIS3 strategii (2018), kromě témat VaVaI citují i </w:t>
      </w:r>
      <w:r w:rsidR="009C087E">
        <w:rPr>
          <w:bCs/>
          <w:szCs w:val="22"/>
        </w:rPr>
        <w:t xml:space="preserve">hlavní </w:t>
      </w:r>
      <w:r w:rsidR="00F37428">
        <w:rPr>
          <w:bCs/>
          <w:szCs w:val="22"/>
        </w:rPr>
        <w:t xml:space="preserve">relevantní CZ-NACE pro příslušnou skupinu témat. </w:t>
      </w:r>
      <w:r w:rsidR="009C087E">
        <w:rPr>
          <w:bCs/>
          <w:szCs w:val="22"/>
        </w:rPr>
        <w:t xml:space="preserve">Z porovnání hlavních relevantních CZ-NACE </w:t>
      </w:r>
      <w:r w:rsidR="00E91189">
        <w:rPr>
          <w:bCs/>
          <w:szCs w:val="22"/>
        </w:rPr>
        <w:t>uvedených v Národní RIS3 strategi</w:t>
      </w:r>
      <w:r w:rsidR="008A5C94">
        <w:rPr>
          <w:bCs/>
          <w:szCs w:val="22"/>
        </w:rPr>
        <w:t>i</w:t>
      </w:r>
      <w:r w:rsidR="00E91189">
        <w:rPr>
          <w:bCs/>
          <w:szCs w:val="22"/>
        </w:rPr>
        <w:t xml:space="preserve"> </w:t>
      </w:r>
      <w:r w:rsidR="009C087E">
        <w:rPr>
          <w:bCs/>
          <w:szCs w:val="22"/>
        </w:rPr>
        <w:t xml:space="preserve">a </w:t>
      </w:r>
      <w:r w:rsidR="00E91189">
        <w:rPr>
          <w:bCs/>
          <w:szCs w:val="22"/>
        </w:rPr>
        <w:t>Odvětvové k</w:t>
      </w:r>
      <w:r w:rsidR="009C087E">
        <w:rPr>
          <w:bCs/>
          <w:szCs w:val="22"/>
        </w:rPr>
        <w:t xml:space="preserve">lasifikace </w:t>
      </w:r>
      <w:r w:rsidR="00E91189">
        <w:rPr>
          <w:bCs/>
          <w:szCs w:val="22"/>
        </w:rPr>
        <w:t xml:space="preserve">ekonomických činností </w:t>
      </w:r>
      <w:r w:rsidR="009C087E">
        <w:rPr>
          <w:bCs/>
          <w:szCs w:val="22"/>
        </w:rPr>
        <w:t>CZ NACE</w:t>
      </w:r>
      <w:r w:rsidR="00825080">
        <w:rPr>
          <w:rStyle w:val="Znakapoznpodarou"/>
          <w:bCs/>
          <w:szCs w:val="22"/>
        </w:rPr>
        <w:footnoteReference w:id="38"/>
      </w:r>
      <w:r w:rsidR="009C087E">
        <w:rPr>
          <w:bCs/>
          <w:szCs w:val="22"/>
        </w:rPr>
        <w:t xml:space="preserve"> vyplynulo, že z</w:t>
      </w:r>
      <w:r w:rsidR="00F37428">
        <w:rPr>
          <w:bCs/>
          <w:szCs w:val="22"/>
        </w:rPr>
        <w:t xml:space="preserve"> 88 oddílů </w:t>
      </w:r>
      <w:r w:rsidR="008A5C94">
        <w:rPr>
          <w:bCs/>
          <w:szCs w:val="22"/>
        </w:rPr>
        <w:t xml:space="preserve">CZ-NACE </w:t>
      </w:r>
      <w:r w:rsidR="00F37428">
        <w:rPr>
          <w:bCs/>
          <w:szCs w:val="22"/>
        </w:rPr>
        <w:t>je v tomto přehledu uvedeno celkem 50 oddílů</w:t>
      </w:r>
      <w:r w:rsidR="009C087E">
        <w:rPr>
          <w:bCs/>
          <w:szCs w:val="22"/>
        </w:rPr>
        <w:t xml:space="preserve">, jakožto relevantních pro Národní RIS3 strategii. I tato skutečnost, dle názoru evaluátora, </w:t>
      </w:r>
      <w:r w:rsidR="009C087E" w:rsidRPr="00855BF8">
        <w:rPr>
          <w:b/>
          <w:bCs/>
          <w:szCs w:val="22"/>
        </w:rPr>
        <w:t>popírá princip specializace</w:t>
      </w:r>
      <w:r w:rsidR="009C087E">
        <w:rPr>
          <w:bCs/>
          <w:szCs w:val="22"/>
        </w:rPr>
        <w:t xml:space="preserve">.  </w:t>
      </w:r>
    </w:p>
    <w:p w14:paraId="7A603683" w14:textId="77777777" w:rsidR="0082447E" w:rsidRDefault="0082447E" w:rsidP="006A2372">
      <w:pPr>
        <w:rPr>
          <w:bCs/>
          <w:szCs w:val="22"/>
        </w:rPr>
      </w:pPr>
    </w:p>
    <w:p w14:paraId="58183441" w14:textId="77777777" w:rsidR="009946A2" w:rsidRPr="009946A2" w:rsidRDefault="009946A2" w:rsidP="009946A2">
      <w:pPr>
        <w:pStyle w:val="Nadpis3"/>
        <w:keepNext/>
        <w:keepLines/>
        <w:numPr>
          <w:ilvl w:val="0"/>
          <w:numId w:val="0"/>
        </w:numPr>
        <w:pBdr>
          <w:top w:val="none" w:sz="0" w:space="0" w:color="auto"/>
          <w:left w:val="none" w:sz="0" w:space="0" w:color="auto"/>
        </w:pBdr>
        <w:spacing w:before="40" w:after="0" w:line="293" w:lineRule="auto"/>
        <w:rPr>
          <w:rFonts w:asciiTheme="majorHAnsi" w:eastAsiaTheme="majorEastAsia" w:hAnsiTheme="majorHAnsi" w:cstheme="majorHAnsi"/>
          <w:i/>
          <w:caps/>
          <w:color w:val="004B8D"/>
          <w:spacing w:val="0"/>
          <w:sz w:val="22"/>
          <w:lang w:bidi="ar-SA"/>
        </w:rPr>
      </w:pPr>
      <w:bookmarkStart w:id="45" w:name="_Toc5626452"/>
      <w:r>
        <w:rPr>
          <w:rFonts w:asciiTheme="majorHAnsi" w:eastAsiaTheme="majorEastAsia" w:hAnsiTheme="majorHAnsi" w:cstheme="majorHAnsi"/>
          <w:i/>
          <w:caps/>
          <w:color w:val="004B8D"/>
          <w:spacing w:val="0"/>
          <w:sz w:val="22"/>
          <w:lang w:bidi="ar-SA"/>
        </w:rPr>
        <w:t xml:space="preserve">3.2.3 </w:t>
      </w:r>
      <w:r w:rsidRPr="009946A2">
        <w:rPr>
          <w:rFonts w:asciiTheme="majorHAnsi" w:eastAsiaTheme="majorEastAsia" w:hAnsiTheme="majorHAnsi" w:cstheme="majorHAnsi"/>
          <w:i/>
          <w:caps/>
          <w:color w:val="004B8D"/>
          <w:spacing w:val="0"/>
          <w:sz w:val="22"/>
          <w:lang w:bidi="ar-SA"/>
        </w:rPr>
        <w:t xml:space="preserve">Koherence horizontálních cílů </w:t>
      </w:r>
      <w:r>
        <w:rPr>
          <w:rFonts w:asciiTheme="majorHAnsi" w:eastAsiaTheme="majorEastAsia" w:hAnsiTheme="majorHAnsi" w:cstheme="majorHAnsi"/>
          <w:i/>
          <w:caps/>
          <w:color w:val="004B8D"/>
          <w:spacing w:val="0"/>
          <w:sz w:val="22"/>
          <w:lang w:bidi="ar-SA"/>
        </w:rPr>
        <w:t xml:space="preserve">Národní RIS3 strategie </w:t>
      </w:r>
      <w:r w:rsidRPr="009946A2">
        <w:rPr>
          <w:rFonts w:asciiTheme="majorHAnsi" w:eastAsiaTheme="majorEastAsia" w:hAnsiTheme="majorHAnsi" w:cstheme="majorHAnsi"/>
          <w:i/>
          <w:caps/>
          <w:color w:val="004B8D"/>
          <w:spacing w:val="0"/>
          <w:sz w:val="22"/>
          <w:lang w:bidi="ar-SA"/>
        </w:rPr>
        <w:t>s</w:t>
      </w:r>
      <w:r w:rsidR="0097370C">
        <w:rPr>
          <w:rFonts w:asciiTheme="majorHAnsi" w:eastAsiaTheme="majorEastAsia" w:hAnsiTheme="majorHAnsi" w:cstheme="majorHAnsi"/>
          <w:i/>
          <w:caps/>
          <w:color w:val="004B8D"/>
          <w:spacing w:val="0"/>
          <w:sz w:val="22"/>
          <w:lang w:bidi="ar-SA"/>
        </w:rPr>
        <w:t> dalšími klíčovými dokumenty</w:t>
      </w:r>
      <w:bookmarkEnd w:id="45"/>
    </w:p>
    <w:p w14:paraId="33997469" w14:textId="77777777" w:rsidR="009946A2" w:rsidRDefault="009946A2" w:rsidP="009946A2">
      <w:pPr>
        <w:rPr>
          <w:bCs/>
          <w:szCs w:val="22"/>
        </w:rPr>
      </w:pPr>
      <w:r>
        <w:rPr>
          <w:bCs/>
          <w:szCs w:val="22"/>
        </w:rPr>
        <w:t>Jak již bylo zmíněno, věcný záběr Národní RIS3 strategie je natolik široký a do značné míry průřezový (nadrezortní), že se logicky prolíná s mnoha dalšími strategiemi a koncepčními dokumenty i ostatních rezortů. V </w:t>
      </w:r>
      <w:r w:rsidR="0097370C">
        <w:rPr>
          <w:bCs/>
          <w:szCs w:val="22"/>
        </w:rPr>
        <w:t>textu</w:t>
      </w:r>
      <w:r>
        <w:rPr>
          <w:bCs/>
          <w:szCs w:val="22"/>
        </w:rPr>
        <w:t xml:space="preserve"> Národní RIS3 strategie (2018) je identifikováno 11 dokumentů, které jsou v přímém vztahu k Národní RIS3 strategii</w:t>
      </w:r>
      <w:r>
        <w:rPr>
          <w:rStyle w:val="Znakapoznpodarou"/>
          <w:bCs/>
          <w:szCs w:val="22"/>
        </w:rPr>
        <w:footnoteReference w:id="39"/>
      </w:r>
      <w:r>
        <w:rPr>
          <w:bCs/>
          <w:szCs w:val="22"/>
        </w:rPr>
        <w:t xml:space="preserve">. </w:t>
      </w:r>
    </w:p>
    <w:p w14:paraId="2113AEF9" w14:textId="77777777" w:rsidR="009946A2" w:rsidRDefault="009946A2" w:rsidP="009946A2">
      <w:pPr>
        <w:rPr>
          <w:bCs/>
          <w:szCs w:val="22"/>
        </w:rPr>
      </w:pPr>
      <w:r>
        <w:rPr>
          <w:bCs/>
          <w:szCs w:val="22"/>
        </w:rPr>
        <w:t>Ve vztahu k oblasti VaVaI je klíčová koherence cílů Národní RIS3 strategie s Národní politikou výzkumu, vývoje a inovací v ČR (dále jen NP VaVaI), jakožto zastřešujícím dokumentem pro oblast VaVaI</w:t>
      </w:r>
      <w:r w:rsidR="0097370C">
        <w:rPr>
          <w:bCs/>
          <w:szCs w:val="22"/>
        </w:rPr>
        <w:t>,</w:t>
      </w:r>
      <w:r>
        <w:rPr>
          <w:bCs/>
          <w:szCs w:val="22"/>
        </w:rPr>
        <w:t xml:space="preserve"> a Národními prioritami orientovaného výzkumu, experimentálního vývoje a inovací. </w:t>
      </w:r>
    </w:p>
    <w:p w14:paraId="0B2C3D3C" w14:textId="77777777" w:rsidR="009946A2" w:rsidRDefault="0097370C" w:rsidP="009946A2">
      <w:pPr>
        <w:rPr>
          <w:bCs/>
          <w:szCs w:val="22"/>
        </w:rPr>
      </w:pPr>
      <w:r>
        <w:rPr>
          <w:bCs/>
          <w:szCs w:val="22"/>
        </w:rPr>
        <w:t>Vztahy mezi těmito dokumenty a programy, prostřednictvím kterých jsou fakticky realizovány</w:t>
      </w:r>
      <w:r w:rsidR="00B7284D">
        <w:rPr>
          <w:bCs/>
          <w:szCs w:val="22"/>
        </w:rPr>
        <w:t>,</w:t>
      </w:r>
      <w:r>
        <w:rPr>
          <w:bCs/>
          <w:szCs w:val="22"/>
        </w:rPr>
        <w:t xml:space="preserve"> je uveden v následujícím schématu. </w:t>
      </w:r>
    </w:p>
    <w:p w14:paraId="3B35D1CE" w14:textId="2421B449" w:rsidR="00966061" w:rsidRDefault="00966061">
      <w:pPr>
        <w:spacing w:before="0" w:after="0" w:line="240" w:lineRule="auto"/>
        <w:jc w:val="left"/>
        <w:rPr>
          <w:bCs/>
          <w:szCs w:val="22"/>
        </w:rPr>
      </w:pPr>
      <w:r>
        <w:rPr>
          <w:bCs/>
          <w:szCs w:val="22"/>
        </w:rPr>
        <w:br w:type="page"/>
      </w:r>
    </w:p>
    <w:p w14:paraId="1ABEAFB8" w14:textId="77777777" w:rsidR="009946A2" w:rsidRDefault="009946A2" w:rsidP="009946A2">
      <w:pPr>
        <w:rPr>
          <w:bCs/>
          <w:szCs w:val="22"/>
        </w:rPr>
      </w:pPr>
      <w:r w:rsidRPr="00505E60">
        <w:rPr>
          <w:b/>
          <w:bCs/>
          <w:szCs w:val="22"/>
        </w:rPr>
        <w:lastRenderedPageBreak/>
        <w:t>Schéma 1</w:t>
      </w:r>
      <w:r w:rsidR="00505E60">
        <w:rPr>
          <w:bCs/>
          <w:szCs w:val="22"/>
        </w:rPr>
        <w:t xml:space="preserve"> -</w:t>
      </w:r>
      <w:r>
        <w:rPr>
          <w:bCs/>
          <w:szCs w:val="22"/>
        </w:rPr>
        <w:t xml:space="preserve"> Vazby mezi klíčovými dokumenty ČR v oblasti VaVaI</w:t>
      </w:r>
    </w:p>
    <w:p w14:paraId="2067DE31" w14:textId="77777777" w:rsidR="009946A2" w:rsidRDefault="009946A2" w:rsidP="009946A2">
      <w:pPr>
        <w:spacing w:after="0" w:line="240" w:lineRule="auto"/>
        <w:jc w:val="center"/>
        <w:rPr>
          <w:bCs/>
          <w:szCs w:val="22"/>
        </w:rPr>
      </w:pPr>
      <w:r w:rsidRPr="0096352F">
        <w:rPr>
          <w:bCs/>
          <w:noProof/>
          <w:szCs w:val="22"/>
          <w:lang w:eastAsia="cs-CZ" w:bidi="ar-SA"/>
        </w:rPr>
        <w:drawing>
          <wp:inline distT="0" distB="0" distL="0" distR="0" wp14:anchorId="0BA6A59B" wp14:editId="132BF44B">
            <wp:extent cx="4438650" cy="3434258"/>
            <wp:effectExtent l="19050" t="0" r="0" b="0"/>
            <wp:docPr id="2055"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43582" cy="3438074"/>
                    </a:xfrm>
                    <a:prstGeom prst="rect">
                      <a:avLst/>
                    </a:prstGeom>
                    <a:noFill/>
                  </pic:spPr>
                </pic:pic>
              </a:graphicData>
            </a:graphic>
          </wp:inline>
        </w:drawing>
      </w:r>
    </w:p>
    <w:p w14:paraId="4BC3C80E" w14:textId="77777777" w:rsidR="009946A2" w:rsidRPr="00EB7A4D" w:rsidRDefault="009946A2" w:rsidP="009946A2">
      <w:pPr>
        <w:spacing w:before="0" w:line="240" w:lineRule="auto"/>
        <w:rPr>
          <w:bCs/>
          <w:sz w:val="18"/>
          <w:szCs w:val="18"/>
        </w:rPr>
      </w:pPr>
      <w:r>
        <w:rPr>
          <w:bCs/>
          <w:sz w:val="18"/>
          <w:szCs w:val="18"/>
        </w:rPr>
        <w:t xml:space="preserve">                        </w:t>
      </w:r>
      <w:r w:rsidRPr="00EB7A4D">
        <w:rPr>
          <w:bCs/>
          <w:sz w:val="18"/>
          <w:szCs w:val="18"/>
        </w:rPr>
        <w:t>Zdroj: převzato z Národní RIS3 strategie, 2018</w:t>
      </w:r>
    </w:p>
    <w:p w14:paraId="0663191E" w14:textId="77777777" w:rsidR="00966061" w:rsidRDefault="00966061" w:rsidP="009946A2">
      <w:pPr>
        <w:rPr>
          <w:bCs/>
          <w:szCs w:val="22"/>
        </w:rPr>
      </w:pPr>
    </w:p>
    <w:p w14:paraId="30DE9B27" w14:textId="77777777" w:rsidR="009946A2" w:rsidRDefault="009946A2" w:rsidP="009946A2">
      <w:pPr>
        <w:rPr>
          <w:bCs/>
          <w:szCs w:val="22"/>
        </w:rPr>
      </w:pPr>
      <w:r>
        <w:rPr>
          <w:bCs/>
          <w:szCs w:val="22"/>
        </w:rPr>
        <w:t xml:space="preserve">Zacílení Národní RIS3 strategie z pohledu Národní politiky VaVaI spočívá v participaci na realizaci </w:t>
      </w:r>
      <w:r w:rsidRPr="00683A94">
        <w:rPr>
          <w:bCs/>
          <w:i/>
          <w:szCs w:val="22"/>
        </w:rPr>
        <w:t>opatření 28 - Stanovit hlavní směry podpory aplikovaného výzkumu</w:t>
      </w:r>
      <w:r>
        <w:rPr>
          <w:b/>
          <w:bCs/>
          <w:i/>
          <w:szCs w:val="22"/>
        </w:rPr>
        <w:t>.</w:t>
      </w:r>
      <w:r>
        <w:rPr>
          <w:bCs/>
          <w:szCs w:val="22"/>
        </w:rPr>
        <w:t xml:space="preserve"> </w:t>
      </w:r>
      <w:r w:rsidR="0093522F">
        <w:rPr>
          <w:bCs/>
          <w:szCs w:val="22"/>
        </w:rPr>
        <w:t xml:space="preserve">(viz výše v kap. </w:t>
      </w:r>
      <w:r w:rsidR="0093522F" w:rsidRPr="0093522F">
        <w:rPr>
          <w:bCs/>
          <w:szCs w:val="22"/>
        </w:rPr>
        <w:t>3.2.2 VERTIKÁLNÍ ZACÍLENÍ NÁRODNÍ RIS3 STRATEGIE</w:t>
      </w:r>
      <w:r w:rsidR="0093522F">
        <w:rPr>
          <w:bCs/>
          <w:szCs w:val="22"/>
        </w:rPr>
        <w:t>)</w:t>
      </w:r>
    </w:p>
    <w:p w14:paraId="66F2E761" w14:textId="77777777" w:rsidR="009946A2" w:rsidRDefault="009946A2" w:rsidP="009946A2">
      <w:pPr>
        <w:rPr>
          <w:bCs/>
          <w:szCs w:val="22"/>
        </w:rPr>
      </w:pPr>
      <w:r>
        <w:rPr>
          <w:bCs/>
          <w:szCs w:val="22"/>
        </w:rPr>
        <w:t>Ostatně k takové součinnosti se pozitivně staví i dikce Národní RIS3 strategie (2018), kde se uvádí:</w:t>
      </w:r>
    </w:p>
    <w:p w14:paraId="0FA367A2" w14:textId="77777777" w:rsidR="009946A2" w:rsidRPr="000D0AE1" w:rsidRDefault="009946A2" w:rsidP="00D10F0D">
      <w:pPr>
        <w:pStyle w:val="Odstavecseseznamem"/>
        <w:numPr>
          <w:ilvl w:val="0"/>
          <w:numId w:val="17"/>
        </w:numPr>
        <w:rPr>
          <w:bCs/>
          <w:szCs w:val="22"/>
        </w:rPr>
      </w:pPr>
      <w:r w:rsidRPr="00DB2E11">
        <w:rPr>
          <w:rFonts w:cs="Arial"/>
          <w:bCs/>
        </w:rPr>
        <w:t>Národní RIS3 strategi</w:t>
      </w:r>
      <w:r>
        <w:rPr>
          <w:rFonts w:cs="Arial"/>
          <w:bCs/>
        </w:rPr>
        <w:t>i</w:t>
      </w:r>
      <w:r w:rsidRPr="00DB2E11">
        <w:rPr>
          <w:rFonts w:cs="Arial"/>
          <w:bCs/>
        </w:rPr>
        <w:t xml:space="preserve"> </w:t>
      </w:r>
      <w:r w:rsidRPr="00A97438">
        <w:t xml:space="preserve">lze chápat jako </w:t>
      </w:r>
      <w:r w:rsidRPr="00A97438">
        <w:rPr>
          <w:i/>
        </w:rPr>
        <w:t xml:space="preserve">národní strategii </w:t>
      </w:r>
      <w:r>
        <w:rPr>
          <w:i/>
        </w:rPr>
        <w:t xml:space="preserve">orientovaného a </w:t>
      </w:r>
      <w:r w:rsidRPr="00A97438">
        <w:rPr>
          <w:i/>
        </w:rPr>
        <w:t>aplikovaného výzkumu</w:t>
      </w:r>
      <w:r>
        <w:rPr>
          <w:i/>
        </w:rPr>
        <w:t xml:space="preserve">. </w:t>
      </w:r>
      <w:r w:rsidRPr="000D0AE1">
        <w:t>(kap. 2.2)</w:t>
      </w:r>
    </w:p>
    <w:p w14:paraId="0ACB5AD7" w14:textId="500496D3" w:rsidR="009946A2" w:rsidRPr="000D0AE1" w:rsidRDefault="009946A2" w:rsidP="00D10F0D">
      <w:pPr>
        <w:pStyle w:val="Odstavecseseznamem"/>
        <w:numPr>
          <w:ilvl w:val="0"/>
          <w:numId w:val="17"/>
        </w:numPr>
        <w:rPr>
          <w:bCs/>
          <w:szCs w:val="22"/>
        </w:rPr>
      </w:pPr>
      <w:r w:rsidRPr="00BA4F8E">
        <w:rPr>
          <w:rFonts w:cs="Arial"/>
        </w:rPr>
        <w:t xml:space="preserve">Národní RIS3 strategie naplňuje část úkolů NP VaVaI v rovině </w:t>
      </w:r>
      <w:r>
        <w:rPr>
          <w:rFonts w:cs="Arial"/>
        </w:rPr>
        <w:t>orientovaného a</w:t>
      </w:r>
      <w:r w:rsidR="00966061">
        <w:rPr>
          <w:rFonts w:cs="Arial"/>
        </w:rPr>
        <w:t> </w:t>
      </w:r>
      <w:r w:rsidRPr="00BA4F8E">
        <w:rPr>
          <w:rFonts w:cs="Arial"/>
        </w:rPr>
        <w:t>aplikovaného výzkumu a pohybuje se uvnitř jejího rámce.</w:t>
      </w:r>
      <w:r>
        <w:rPr>
          <w:rFonts w:cs="Arial"/>
        </w:rPr>
        <w:t xml:space="preserve"> (kap. </w:t>
      </w:r>
      <w:r>
        <w:rPr>
          <w:bCs/>
          <w:szCs w:val="22"/>
        </w:rPr>
        <w:t>8.2.1.1)</w:t>
      </w:r>
    </w:p>
    <w:p w14:paraId="3668AB4B" w14:textId="364C3BFA" w:rsidR="009946A2" w:rsidRDefault="009946A2" w:rsidP="009946A2">
      <w:r>
        <w:rPr>
          <w:bCs/>
          <w:szCs w:val="22"/>
        </w:rPr>
        <w:t>Dále se v textu m. j.  uvádí, že …</w:t>
      </w:r>
      <w:r w:rsidRPr="000D0AE1">
        <w:rPr>
          <w:rFonts w:cs="Arial"/>
          <w:bCs/>
        </w:rPr>
        <w:t xml:space="preserve"> </w:t>
      </w:r>
      <w:r>
        <w:rPr>
          <w:rFonts w:cs="Arial"/>
          <w:bCs/>
        </w:rPr>
        <w:t>Ú</w:t>
      </w:r>
      <w:r w:rsidRPr="00DB2E11">
        <w:rPr>
          <w:rFonts w:cs="Arial"/>
          <w:bCs/>
        </w:rPr>
        <w:t xml:space="preserve">čelem Národní RIS3 strategie je </w:t>
      </w:r>
      <w:r w:rsidRPr="00DB2E11">
        <w:rPr>
          <w:rFonts w:cs="Arial"/>
          <w:b/>
          <w:bCs/>
        </w:rPr>
        <w:t>efektivní zacílení finančních prostředků</w:t>
      </w:r>
      <w:r>
        <w:rPr>
          <w:rFonts w:cs="Arial"/>
          <w:bCs/>
        </w:rPr>
        <w:t>, resp., že ….</w:t>
      </w:r>
      <w:r w:rsidRPr="000D0AE1">
        <w:rPr>
          <w:rFonts w:cs="Arial"/>
          <w:bCs/>
        </w:rPr>
        <w:t xml:space="preserve"> </w:t>
      </w:r>
      <w:r w:rsidRPr="00821512">
        <w:rPr>
          <w:rFonts w:cs="Arial"/>
          <w:bCs/>
        </w:rPr>
        <w:t>Národní domény specializace představují priority, na které by se měl zaměřovat orientovaný a</w:t>
      </w:r>
      <w:r>
        <w:rPr>
          <w:rFonts w:cs="Arial"/>
          <w:bCs/>
        </w:rPr>
        <w:t> </w:t>
      </w:r>
      <w:r w:rsidRPr="00821512">
        <w:rPr>
          <w:rFonts w:cs="Arial"/>
          <w:bCs/>
        </w:rPr>
        <w:t>aplikovaný výzkum České republiky</w:t>
      </w:r>
      <w:r>
        <w:rPr>
          <w:rFonts w:cs="Arial"/>
          <w:bCs/>
        </w:rPr>
        <w:t xml:space="preserve"> a že …. cílem je </w:t>
      </w:r>
      <w:r w:rsidRPr="00BA4F8E">
        <w:t>zpřesnit a</w:t>
      </w:r>
      <w:r w:rsidR="00966061">
        <w:t> </w:t>
      </w:r>
      <w:r w:rsidRPr="00BA4F8E">
        <w:t>prioritizovat aplikační odvětví a znalostní domény inteligentní specializace definované jako průsečík společenských výzev, základních znalostních domén a aplikačních příležitostí</w:t>
      </w:r>
      <w:r>
        <w:t>.</w:t>
      </w:r>
      <w:r w:rsidR="0097370C">
        <w:t>“</w:t>
      </w:r>
      <w:r w:rsidR="00B7284D">
        <w:rPr>
          <w:rStyle w:val="Znakapoznpodarou"/>
        </w:rPr>
        <w:footnoteReference w:id="40"/>
      </w:r>
    </w:p>
    <w:p w14:paraId="68803722" w14:textId="77777777" w:rsidR="009946A2" w:rsidRDefault="009946A2" w:rsidP="006A2372">
      <w:pPr>
        <w:rPr>
          <w:bCs/>
          <w:szCs w:val="22"/>
        </w:rPr>
      </w:pPr>
    </w:p>
    <w:p w14:paraId="19CFF9DB" w14:textId="77777777" w:rsidR="00D15255" w:rsidRDefault="00D15255" w:rsidP="006A2372">
      <w:pPr>
        <w:rPr>
          <w:sz w:val="20"/>
        </w:rPr>
      </w:pPr>
    </w:p>
    <w:p w14:paraId="5AB10C9E" w14:textId="77777777" w:rsidR="00D15255" w:rsidRPr="007150D8" w:rsidRDefault="00D15255" w:rsidP="0093522F">
      <w:pPr>
        <w:pBdr>
          <w:top w:val="single" w:sz="4" w:space="1" w:color="auto"/>
          <w:left w:val="single" w:sz="4" w:space="4" w:color="auto"/>
          <w:bottom w:val="single" w:sz="4" w:space="1" w:color="auto"/>
          <w:right w:val="single" w:sz="4" w:space="4" w:color="auto"/>
        </w:pBdr>
        <w:shd w:val="clear" w:color="auto" w:fill="F2F2F2" w:themeFill="background1" w:themeFillShade="F2"/>
        <w:rPr>
          <w:rStyle w:val="tlid-translation"/>
          <w:i/>
        </w:rPr>
      </w:pPr>
      <w:r w:rsidRPr="007150D8">
        <w:rPr>
          <w:rStyle w:val="tlid-translation"/>
          <w:i/>
        </w:rPr>
        <w:lastRenderedPageBreak/>
        <w:t>Intervenční logika založená na identifikaci vertikálních prioritních oblastí pro veřejné investice je charakteristickým rysem inteligentní specializace</w:t>
      </w:r>
      <w:r w:rsidR="00405DCF" w:rsidRPr="007150D8">
        <w:rPr>
          <w:rStyle w:val="tlid-translation"/>
          <w:i/>
        </w:rPr>
        <w:t>.</w:t>
      </w:r>
      <w:r w:rsidR="00405DCF" w:rsidRPr="007150D8">
        <w:rPr>
          <w:rStyle w:val="Znakapoznpodarou"/>
          <w:i/>
        </w:rPr>
        <w:footnoteReference w:id="41"/>
      </w:r>
      <w:r w:rsidR="00405DCF" w:rsidRPr="007150D8">
        <w:rPr>
          <w:rStyle w:val="tlid-translation"/>
          <w:i/>
        </w:rPr>
        <w:t xml:space="preserve"> V</w:t>
      </w:r>
      <w:r w:rsidRPr="007150D8">
        <w:rPr>
          <w:rStyle w:val="tlid-translation"/>
          <w:i/>
        </w:rPr>
        <w:t>eřejn</w:t>
      </w:r>
      <w:r w:rsidR="00405DCF" w:rsidRPr="007150D8">
        <w:rPr>
          <w:rStyle w:val="tlid-translation"/>
          <w:i/>
        </w:rPr>
        <w:t>é</w:t>
      </w:r>
      <w:r w:rsidRPr="007150D8">
        <w:rPr>
          <w:rStyle w:val="tlid-translation"/>
          <w:i/>
        </w:rPr>
        <w:t xml:space="preserve"> intervence musí být zaměřen</w:t>
      </w:r>
      <w:r w:rsidR="00405DCF" w:rsidRPr="007150D8">
        <w:rPr>
          <w:rStyle w:val="tlid-translation"/>
          <w:i/>
        </w:rPr>
        <w:t>y</w:t>
      </w:r>
      <w:r w:rsidRPr="007150D8">
        <w:rPr>
          <w:rStyle w:val="tlid-translation"/>
          <w:i/>
        </w:rPr>
        <w:t xml:space="preserve"> na „konkrétní </w:t>
      </w:r>
      <w:r w:rsidR="00405DCF" w:rsidRPr="007150D8">
        <w:rPr>
          <w:rStyle w:val="tlid-translation"/>
          <w:i/>
        </w:rPr>
        <w:t xml:space="preserve">ekonomické </w:t>
      </w:r>
      <w:r w:rsidRPr="007150D8">
        <w:rPr>
          <w:rStyle w:val="tlid-translation"/>
          <w:i/>
        </w:rPr>
        <w:t>oblasti a technol</w:t>
      </w:r>
      <w:r w:rsidR="00405DCF" w:rsidRPr="007150D8">
        <w:rPr>
          <w:rStyle w:val="tlid-translation"/>
          <w:i/>
        </w:rPr>
        <w:t xml:space="preserve">ogie, jakož i konkrétní množinu </w:t>
      </w:r>
      <w:r w:rsidRPr="007150D8">
        <w:rPr>
          <w:rStyle w:val="tlid-translation"/>
          <w:i/>
        </w:rPr>
        <w:t>aktérů“</w:t>
      </w:r>
      <w:r w:rsidR="00405DCF" w:rsidRPr="007150D8">
        <w:rPr>
          <w:rStyle w:val="tlid-translation"/>
          <w:i/>
        </w:rPr>
        <w:t>.</w:t>
      </w:r>
      <w:r w:rsidRPr="007150D8">
        <w:rPr>
          <w:rStyle w:val="tlid-translation"/>
          <w:i/>
        </w:rPr>
        <w:t xml:space="preserve"> </w:t>
      </w:r>
      <w:r w:rsidR="00405DCF" w:rsidRPr="007150D8">
        <w:rPr>
          <w:rStyle w:val="tlid-translation"/>
          <w:i/>
        </w:rPr>
        <w:t xml:space="preserve">Politika inteligentní specializace vyžaduje stanovení priorit, </w:t>
      </w:r>
      <w:r w:rsidR="00E14909" w:rsidRPr="007150D8">
        <w:rPr>
          <w:rStyle w:val="tlid-translation"/>
          <w:i/>
        </w:rPr>
        <w:t xml:space="preserve">nikoliv však horizontálních priorit, jako je zlepšování lidského potenciálu, rozvoj univerzit nebo budování účinného systému práv duševního vlastnictví. </w:t>
      </w:r>
      <w:r w:rsidRPr="007150D8">
        <w:rPr>
          <w:rStyle w:val="tlid-translation"/>
          <w:i/>
        </w:rPr>
        <w:t>Horizontální priority zaměřené na zlepšení rámcových podmínek moh</w:t>
      </w:r>
      <w:r w:rsidR="00E14909" w:rsidRPr="007150D8">
        <w:rPr>
          <w:rStyle w:val="tlid-translation"/>
          <w:i/>
        </w:rPr>
        <w:t>ou</w:t>
      </w:r>
      <w:r w:rsidRPr="007150D8">
        <w:rPr>
          <w:rStyle w:val="tlid-translation"/>
          <w:i/>
        </w:rPr>
        <w:t xml:space="preserve"> doplnit přístup inteligentní specializace, ale nepředstavují přímý cíl pro tuto politiku. </w:t>
      </w:r>
      <w:r w:rsidR="00E14909" w:rsidRPr="007150D8">
        <w:rPr>
          <w:rStyle w:val="tlid-translation"/>
          <w:i/>
        </w:rPr>
        <w:t>Klíčovými prioritami jsou ty vertikální, které jsou zaměřeny na konkrétní ekonomické oblasti a technologie</w:t>
      </w:r>
      <w:r w:rsidR="00E14909" w:rsidRPr="007150D8">
        <w:rPr>
          <w:rStyle w:val="Znakapoznpodarou"/>
          <w:i/>
        </w:rPr>
        <w:footnoteReference w:id="42"/>
      </w:r>
      <w:r w:rsidR="00E14909" w:rsidRPr="007150D8">
        <w:rPr>
          <w:rStyle w:val="tlid-translation"/>
          <w:i/>
        </w:rPr>
        <w:t xml:space="preserve">. </w:t>
      </w:r>
    </w:p>
    <w:p w14:paraId="553DDCDE" w14:textId="77777777" w:rsidR="00D15255" w:rsidRDefault="00D15255" w:rsidP="006A2372">
      <w:pPr>
        <w:rPr>
          <w:bCs/>
          <w:szCs w:val="22"/>
        </w:rPr>
      </w:pPr>
    </w:p>
    <w:p w14:paraId="414F17D3" w14:textId="77777777" w:rsidR="0082447E" w:rsidRPr="00B90483" w:rsidRDefault="0082447E" w:rsidP="005C4D6B">
      <w:pPr>
        <w:pStyle w:val="Nadpis3"/>
        <w:keepNext/>
        <w:keepLines/>
        <w:numPr>
          <w:ilvl w:val="0"/>
          <w:numId w:val="0"/>
        </w:numPr>
        <w:pBdr>
          <w:top w:val="none" w:sz="0" w:space="0" w:color="auto"/>
          <w:left w:val="none" w:sz="0" w:space="0" w:color="auto"/>
        </w:pBdr>
        <w:spacing w:before="40" w:after="0" w:line="293" w:lineRule="auto"/>
        <w:rPr>
          <w:rFonts w:asciiTheme="majorHAnsi" w:eastAsiaTheme="majorEastAsia" w:hAnsiTheme="majorHAnsi" w:cstheme="majorHAnsi"/>
          <w:i/>
          <w:caps/>
          <w:color w:val="004B8D"/>
          <w:spacing w:val="0"/>
          <w:sz w:val="22"/>
          <w:lang w:bidi="ar-SA"/>
        </w:rPr>
      </w:pPr>
      <w:bookmarkStart w:id="46" w:name="_Toc5626453"/>
      <w:r>
        <w:rPr>
          <w:rFonts w:asciiTheme="majorHAnsi" w:eastAsiaTheme="majorEastAsia" w:hAnsiTheme="majorHAnsi" w:cstheme="majorHAnsi"/>
          <w:i/>
          <w:caps/>
          <w:color w:val="004B8D"/>
          <w:spacing w:val="0"/>
          <w:sz w:val="22"/>
          <w:lang w:bidi="ar-SA"/>
        </w:rPr>
        <w:t>3.2.</w:t>
      </w:r>
      <w:r w:rsidR="004620D6">
        <w:rPr>
          <w:rFonts w:asciiTheme="majorHAnsi" w:eastAsiaTheme="majorEastAsia" w:hAnsiTheme="majorHAnsi" w:cstheme="majorHAnsi"/>
          <w:i/>
          <w:caps/>
          <w:color w:val="004B8D"/>
          <w:spacing w:val="0"/>
          <w:sz w:val="22"/>
          <w:lang w:bidi="ar-SA"/>
        </w:rPr>
        <w:t>4</w:t>
      </w:r>
      <w:r>
        <w:rPr>
          <w:rFonts w:asciiTheme="majorHAnsi" w:eastAsiaTheme="majorEastAsia" w:hAnsiTheme="majorHAnsi" w:cstheme="majorHAnsi"/>
          <w:i/>
          <w:caps/>
          <w:color w:val="004B8D"/>
          <w:spacing w:val="0"/>
          <w:sz w:val="22"/>
          <w:lang w:bidi="ar-SA"/>
        </w:rPr>
        <w:t xml:space="preserve"> promítnutí výsledků terénního Šetření k</w:t>
      </w:r>
      <w:r w:rsidR="00C0209A">
        <w:rPr>
          <w:rFonts w:asciiTheme="majorHAnsi" w:eastAsiaTheme="majorEastAsia" w:hAnsiTheme="majorHAnsi" w:cstheme="majorHAnsi"/>
          <w:i/>
          <w:caps/>
          <w:color w:val="004B8D"/>
          <w:spacing w:val="0"/>
          <w:sz w:val="22"/>
          <w:lang w:bidi="ar-SA"/>
        </w:rPr>
        <w:t> celkovému pojetí</w:t>
      </w:r>
      <w:r w:rsidR="005C4D6B">
        <w:rPr>
          <w:rFonts w:asciiTheme="majorHAnsi" w:eastAsiaTheme="majorEastAsia" w:hAnsiTheme="majorHAnsi" w:cstheme="majorHAnsi"/>
          <w:i/>
          <w:caps/>
          <w:color w:val="004B8D"/>
          <w:spacing w:val="0"/>
          <w:sz w:val="22"/>
          <w:lang w:bidi="ar-SA"/>
        </w:rPr>
        <w:t xml:space="preserve"> a </w:t>
      </w:r>
      <w:r>
        <w:rPr>
          <w:rFonts w:asciiTheme="majorHAnsi" w:eastAsiaTheme="majorEastAsia" w:hAnsiTheme="majorHAnsi" w:cstheme="majorHAnsi"/>
          <w:i/>
          <w:caps/>
          <w:color w:val="004B8D"/>
          <w:spacing w:val="0"/>
          <w:sz w:val="22"/>
          <w:lang w:bidi="ar-SA"/>
        </w:rPr>
        <w:t xml:space="preserve">zacílení </w:t>
      </w:r>
      <w:r w:rsidRPr="00B90483">
        <w:rPr>
          <w:rFonts w:asciiTheme="majorHAnsi" w:eastAsiaTheme="majorEastAsia" w:hAnsiTheme="majorHAnsi" w:cstheme="majorHAnsi"/>
          <w:i/>
          <w:caps/>
          <w:color w:val="004B8D"/>
          <w:spacing w:val="0"/>
          <w:sz w:val="22"/>
          <w:lang w:bidi="ar-SA"/>
        </w:rPr>
        <w:t>Národní RIS3 strategie</w:t>
      </w:r>
      <w:bookmarkEnd w:id="46"/>
    </w:p>
    <w:p w14:paraId="1251D811" w14:textId="77777777" w:rsidR="00370030" w:rsidRDefault="00370030" w:rsidP="006A2372">
      <w:pPr>
        <w:rPr>
          <w:bCs/>
          <w:szCs w:val="22"/>
        </w:rPr>
      </w:pPr>
      <w:r>
        <w:rPr>
          <w:bCs/>
          <w:szCs w:val="22"/>
        </w:rPr>
        <w:t>Struktura Národní RIS3 strategie, včetně jejího zacílení byla předmětem terénního šetření</w:t>
      </w:r>
      <w:r w:rsidR="0082447E">
        <w:rPr>
          <w:bCs/>
          <w:szCs w:val="22"/>
        </w:rPr>
        <w:t xml:space="preserve"> (jak rozhovorů, tak dotazníkového šetření se všemi typy respondentů). Na základě syntézy všech poznatků </w:t>
      </w:r>
      <w:r w:rsidR="009B4D23">
        <w:rPr>
          <w:bCs/>
          <w:szCs w:val="22"/>
        </w:rPr>
        <w:t xml:space="preserve">z tohoto šetření </w:t>
      </w:r>
      <w:r w:rsidR="0082447E">
        <w:rPr>
          <w:bCs/>
          <w:szCs w:val="22"/>
        </w:rPr>
        <w:t>lze identifikovat slabé stránky týkající se struktury a zaměření Národní RIS3 strategie</w:t>
      </w:r>
      <w:r w:rsidR="007150D8">
        <w:rPr>
          <w:bCs/>
          <w:szCs w:val="22"/>
        </w:rPr>
        <w:t xml:space="preserve">, které v podstatě potvrzují výstupy </w:t>
      </w:r>
      <w:r w:rsidR="009B4D23">
        <w:rPr>
          <w:bCs/>
          <w:szCs w:val="22"/>
        </w:rPr>
        <w:t>analýzy dokumentů uvedené v předchozí části</w:t>
      </w:r>
      <w:r w:rsidR="00855BF8">
        <w:rPr>
          <w:bCs/>
          <w:szCs w:val="22"/>
        </w:rPr>
        <w:t>.</w:t>
      </w:r>
      <w:r w:rsidR="0082447E">
        <w:rPr>
          <w:bCs/>
          <w:szCs w:val="22"/>
        </w:rPr>
        <w:t xml:space="preserve"> </w:t>
      </w:r>
    </w:p>
    <w:p w14:paraId="68DAB28E" w14:textId="77777777" w:rsidR="00714704" w:rsidRPr="00B908A6" w:rsidRDefault="00714704" w:rsidP="00714704">
      <w:pPr>
        <w:suppressAutoHyphens/>
        <w:autoSpaceDE w:val="0"/>
        <w:spacing w:before="120" w:after="120"/>
        <w:rPr>
          <w:rFonts w:asciiTheme="majorHAnsi" w:eastAsia="Geneva" w:hAnsiTheme="majorHAnsi"/>
          <w:bCs/>
          <w:iCs/>
          <w:u w:val="single"/>
        </w:rPr>
      </w:pPr>
      <w:r w:rsidRPr="00B908A6">
        <w:rPr>
          <w:rFonts w:asciiTheme="majorHAnsi" w:eastAsia="Geneva" w:hAnsiTheme="majorHAnsi"/>
          <w:bCs/>
          <w:iCs/>
          <w:u w:val="single"/>
        </w:rPr>
        <w:t>1) Celkové pojetí a nastavení Národní RIS3 strategie</w:t>
      </w:r>
    </w:p>
    <w:p w14:paraId="2900DC23" w14:textId="639C7DB8" w:rsidR="00714704" w:rsidRDefault="00C0209A" w:rsidP="00714704">
      <w:pPr>
        <w:suppressAutoHyphens/>
        <w:autoSpaceDE w:val="0"/>
        <w:spacing w:before="120" w:after="120"/>
        <w:rPr>
          <w:rFonts w:asciiTheme="majorHAnsi" w:eastAsia="Geneva" w:hAnsiTheme="majorHAnsi"/>
          <w:bCs/>
          <w:iCs/>
        </w:rPr>
      </w:pPr>
      <w:r>
        <w:rPr>
          <w:rFonts w:asciiTheme="majorHAnsi" w:eastAsia="Geneva" w:hAnsiTheme="majorHAnsi"/>
          <w:bCs/>
          <w:iCs/>
        </w:rPr>
        <w:t>Stakeholdeři</w:t>
      </w:r>
      <w:r>
        <w:rPr>
          <w:rStyle w:val="Znakapoznpodarou"/>
          <w:rFonts w:asciiTheme="majorHAnsi" w:eastAsia="Geneva" w:hAnsiTheme="majorHAnsi"/>
          <w:bCs/>
          <w:iCs/>
        </w:rPr>
        <w:footnoteReference w:id="43"/>
      </w:r>
      <w:r w:rsidR="00714704">
        <w:rPr>
          <w:rFonts w:asciiTheme="majorHAnsi" w:eastAsia="Geneva" w:hAnsiTheme="majorHAnsi"/>
          <w:bCs/>
          <w:iCs/>
        </w:rPr>
        <w:t xml:space="preserve"> vnímají Národní RIS3 strategii jako </w:t>
      </w:r>
      <w:r w:rsidR="00804115">
        <w:rPr>
          <w:rFonts w:asciiTheme="majorHAnsi" w:eastAsia="Geneva" w:hAnsiTheme="majorHAnsi"/>
          <w:bCs/>
          <w:iCs/>
        </w:rPr>
        <w:t>do značné míry</w:t>
      </w:r>
      <w:r w:rsidR="00714704">
        <w:rPr>
          <w:rFonts w:asciiTheme="majorHAnsi" w:eastAsia="Geneva" w:hAnsiTheme="majorHAnsi"/>
          <w:bCs/>
          <w:iCs/>
        </w:rPr>
        <w:t xml:space="preserve"> </w:t>
      </w:r>
      <w:r w:rsidR="00714704" w:rsidRPr="0048345E">
        <w:rPr>
          <w:rFonts w:asciiTheme="majorHAnsi" w:eastAsia="Geneva" w:hAnsiTheme="majorHAnsi"/>
          <w:b/>
          <w:bCs/>
          <w:iCs/>
        </w:rPr>
        <w:t>obecnou a širokou</w:t>
      </w:r>
      <w:r w:rsidR="000A4648">
        <w:rPr>
          <w:rFonts w:asciiTheme="majorHAnsi" w:eastAsia="Geneva" w:hAnsiTheme="majorHAnsi"/>
          <w:bCs/>
          <w:iCs/>
        </w:rPr>
        <w:t xml:space="preserve">. Poukazují na </w:t>
      </w:r>
      <w:r w:rsidR="000A4648" w:rsidRPr="0048345E">
        <w:rPr>
          <w:rFonts w:asciiTheme="majorHAnsi" w:eastAsia="Geneva" w:hAnsiTheme="majorHAnsi"/>
          <w:b/>
          <w:bCs/>
          <w:iCs/>
        </w:rPr>
        <w:t xml:space="preserve">absenci konkrétních (měřitelných) a reálných </w:t>
      </w:r>
      <w:r w:rsidR="00714704" w:rsidRPr="0048345E">
        <w:rPr>
          <w:rFonts w:asciiTheme="majorHAnsi" w:eastAsia="Geneva" w:hAnsiTheme="majorHAnsi"/>
          <w:b/>
          <w:bCs/>
          <w:iCs/>
        </w:rPr>
        <w:t>cílů</w:t>
      </w:r>
      <w:r w:rsidR="00714704">
        <w:rPr>
          <w:rFonts w:asciiTheme="majorHAnsi" w:eastAsia="Geneva" w:hAnsiTheme="majorHAnsi"/>
          <w:bCs/>
          <w:iCs/>
        </w:rPr>
        <w:t>,</w:t>
      </w:r>
      <w:r w:rsidR="000A4648">
        <w:rPr>
          <w:rFonts w:asciiTheme="majorHAnsi" w:eastAsia="Geneva" w:hAnsiTheme="majorHAnsi"/>
          <w:bCs/>
          <w:iCs/>
        </w:rPr>
        <w:t xml:space="preserve"> kterých chce ČR v oblasti výzkumu a vývoje dosáhnout. Postrádají</w:t>
      </w:r>
      <w:r w:rsidR="00714704">
        <w:rPr>
          <w:rFonts w:asciiTheme="majorHAnsi" w:eastAsia="Geneva" w:hAnsiTheme="majorHAnsi"/>
          <w:bCs/>
          <w:iCs/>
        </w:rPr>
        <w:t xml:space="preserve"> </w:t>
      </w:r>
      <w:r w:rsidR="00714704" w:rsidRPr="0048345E">
        <w:rPr>
          <w:rFonts w:asciiTheme="majorHAnsi" w:eastAsia="Geneva" w:hAnsiTheme="majorHAnsi"/>
          <w:b/>
          <w:bCs/>
          <w:iCs/>
        </w:rPr>
        <w:t>definic</w:t>
      </w:r>
      <w:r w:rsidR="000A4648" w:rsidRPr="0048345E">
        <w:rPr>
          <w:rFonts w:asciiTheme="majorHAnsi" w:eastAsia="Geneva" w:hAnsiTheme="majorHAnsi"/>
          <w:b/>
          <w:bCs/>
          <w:iCs/>
        </w:rPr>
        <w:t>i</w:t>
      </w:r>
      <w:r w:rsidR="00714704" w:rsidRPr="0048345E">
        <w:rPr>
          <w:rFonts w:asciiTheme="majorHAnsi" w:eastAsia="Geneva" w:hAnsiTheme="majorHAnsi"/>
          <w:b/>
          <w:bCs/>
          <w:iCs/>
        </w:rPr>
        <w:t xml:space="preserve"> jasných priorit</w:t>
      </w:r>
      <w:r w:rsidR="00714704">
        <w:rPr>
          <w:rFonts w:asciiTheme="majorHAnsi" w:eastAsia="Geneva" w:hAnsiTheme="majorHAnsi"/>
          <w:bCs/>
          <w:iCs/>
        </w:rPr>
        <w:t xml:space="preserve"> a </w:t>
      </w:r>
      <w:r w:rsidR="00714704" w:rsidRPr="0048345E">
        <w:rPr>
          <w:rFonts w:asciiTheme="majorHAnsi" w:eastAsia="Geneva" w:hAnsiTheme="majorHAnsi"/>
          <w:b/>
          <w:bCs/>
          <w:iCs/>
        </w:rPr>
        <w:t>preferenc</w:t>
      </w:r>
      <w:r w:rsidR="000A4648" w:rsidRPr="0048345E">
        <w:rPr>
          <w:rFonts w:asciiTheme="majorHAnsi" w:eastAsia="Geneva" w:hAnsiTheme="majorHAnsi"/>
          <w:b/>
          <w:bCs/>
          <w:iCs/>
        </w:rPr>
        <w:t>i</w:t>
      </w:r>
      <w:r w:rsidR="00714704" w:rsidRPr="0048345E">
        <w:rPr>
          <w:rFonts w:asciiTheme="majorHAnsi" w:eastAsia="Geneva" w:hAnsiTheme="majorHAnsi"/>
          <w:b/>
          <w:bCs/>
          <w:iCs/>
        </w:rPr>
        <w:t xml:space="preserve"> nosných oblastí</w:t>
      </w:r>
      <w:r w:rsidR="00714704">
        <w:rPr>
          <w:rFonts w:asciiTheme="majorHAnsi" w:eastAsia="Geneva" w:hAnsiTheme="majorHAnsi"/>
          <w:bCs/>
          <w:iCs/>
        </w:rPr>
        <w:t>. Témata VaVaI a</w:t>
      </w:r>
      <w:r w:rsidR="00966061">
        <w:rPr>
          <w:rFonts w:asciiTheme="majorHAnsi" w:eastAsia="Geneva" w:hAnsiTheme="majorHAnsi"/>
          <w:bCs/>
          <w:iCs/>
        </w:rPr>
        <w:t> </w:t>
      </w:r>
      <w:r w:rsidR="00714704">
        <w:rPr>
          <w:rFonts w:asciiTheme="majorHAnsi" w:eastAsia="Geneva" w:hAnsiTheme="majorHAnsi"/>
          <w:bCs/>
          <w:iCs/>
        </w:rPr>
        <w:t xml:space="preserve">jednotlivá aplikační odvětví jsou definována příliš široce, dochází k překryvům a nejsou jasně dané kompetence. </w:t>
      </w:r>
    </w:p>
    <w:p w14:paraId="2109E96F" w14:textId="7C4A121E" w:rsidR="000A4648" w:rsidRDefault="00971C61" w:rsidP="00714704">
      <w:pPr>
        <w:suppressAutoHyphens/>
        <w:autoSpaceDE w:val="0"/>
        <w:spacing w:before="120" w:after="120"/>
        <w:rPr>
          <w:rFonts w:asciiTheme="majorHAnsi" w:eastAsia="Geneva" w:hAnsiTheme="majorHAnsi"/>
          <w:bCs/>
          <w:iCs/>
        </w:rPr>
      </w:pPr>
      <w:r w:rsidRPr="00971C61">
        <w:rPr>
          <w:rFonts w:asciiTheme="majorHAnsi" w:eastAsia="Geneva" w:hAnsiTheme="majorHAnsi"/>
          <w:bCs/>
          <w:iCs/>
        </w:rPr>
        <w:t>Dokument jako takový je</w:t>
      </w:r>
      <w:r>
        <w:rPr>
          <w:rFonts w:asciiTheme="majorHAnsi" w:eastAsia="Geneva" w:hAnsiTheme="majorHAnsi"/>
          <w:b/>
          <w:bCs/>
          <w:iCs/>
        </w:rPr>
        <w:t xml:space="preserve"> </w:t>
      </w:r>
      <w:r w:rsidRPr="00AD5500">
        <w:rPr>
          <w:rFonts w:asciiTheme="majorHAnsi" w:eastAsia="Geneva" w:hAnsiTheme="majorHAnsi"/>
          <w:bCs/>
          <w:iCs/>
        </w:rPr>
        <w:t>příliš</w:t>
      </w:r>
      <w:r>
        <w:rPr>
          <w:rFonts w:asciiTheme="majorHAnsi" w:eastAsia="Geneva" w:hAnsiTheme="majorHAnsi"/>
          <w:b/>
          <w:bCs/>
          <w:iCs/>
        </w:rPr>
        <w:t xml:space="preserve"> rozsáhlý</w:t>
      </w:r>
      <w:r w:rsidR="00AD5500">
        <w:rPr>
          <w:rFonts w:asciiTheme="majorHAnsi" w:eastAsia="Geneva" w:hAnsiTheme="majorHAnsi"/>
          <w:b/>
          <w:bCs/>
          <w:iCs/>
        </w:rPr>
        <w:t xml:space="preserve"> a nejednoznačný</w:t>
      </w:r>
      <w:r>
        <w:rPr>
          <w:rFonts w:asciiTheme="majorHAnsi" w:eastAsia="Geneva" w:hAnsiTheme="majorHAnsi"/>
          <w:b/>
          <w:bCs/>
          <w:iCs/>
        </w:rPr>
        <w:t xml:space="preserve">. </w:t>
      </w:r>
      <w:r w:rsidR="00435A9E" w:rsidRPr="00DA77F8">
        <w:rPr>
          <w:rFonts w:asciiTheme="majorHAnsi" w:eastAsia="Geneva" w:hAnsiTheme="majorHAnsi"/>
          <w:bCs/>
          <w:iCs/>
        </w:rPr>
        <w:t xml:space="preserve">Z pohledu </w:t>
      </w:r>
      <w:r w:rsidR="00251E94" w:rsidRPr="00DA77F8">
        <w:rPr>
          <w:rFonts w:asciiTheme="majorHAnsi" w:eastAsia="Geneva" w:hAnsiTheme="majorHAnsi"/>
          <w:bCs/>
          <w:iCs/>
        </w:rPr>
        <w:t xml:space="preserve">příjemců podpory, hodnotitelů projektů a členů NIP </w:t>
      </w:r>
      <w:r w:rsidR="00435A9E" w:rsidRPr="00DA77F8">
        <w:rPr>
          <w:rFonts w:asciiTheme="majorHAnsi" w:eastAsia="Geneva" w:hAnsiTheme="majorHAnsi"/>
          <w:bCs/>
          <w:iCs/>
        </w:rPr>
        <w:t>je</w:t>
      </w:r>
      <w:r w:rsidR="00435A9E">
        <w:rPr>
          <w:rFonts w:asciiTheme="majorHAnsi" w:eastAsia="Geneva" w:hAnsiTheme="majorHAnsi"/>
          <w:b/>
          <w:bCs/>
          <w:iCs/>
        </w:rPr>
        <w:t xml:space="preserve"> s</w:t>
      </w:r>
      <w:r w:rsidR="0048345E" w:rsidRPr="0048345E">
        <w:rPr>
          <w:rFonts w:asciiTheme="majorHAnsi" w:eastAsia="Geneva" w:hAnsiTheme="majorHAnsi"/>
          <w:b/>
          <w:bCs/>
          <w:iCs/>
        </w:rPr>
        <w:t>rozumitelnost</w:t>
      </w:r>
      <w:r w:rsidR="0048345E">
        <w:rPr>
          <w:rFonts w:asciiTheme="majorHAnsi" w:eastAsia="Geneva" w:hAnsiTheme="majorHAnsi"/>
          <w:bCs/>
          <w:iCs/>
        </w:rPr>
        <w:t xml:space="preserve"> dokumentu </w:t>
      </w:r>
      <w:r w:rsidR="0048345E" w:rsidRPr="0048345E">
        <w:rPr>
          <w:rFonts w:asciiTheme="majorHAnsi" w:eastAsia="Geneva" w:hAnsiTheme="majorHAnsi"/>
          <w:b/>
          <w:bCs/>
          <w:iCs/>
        </w:rPr>
        <w:t>nízká</w:t>
      </w:r>
      <w:r w:rsidR="00251E94">
        <w:rPr>
          <w:rFonts w:asciiTheme="majorHAnsi" w:eastAsia="Geneva" w:hAnsiTheme="majorHAnsi"/>
          <w:b/>
          <w:bCs/>
          <w:iCs/>
        </w:rPr>
        <w:t>.</w:t>
      </w:r>
      <w:r w:rsidR="0048345E">
        <w:rPr>
          <w:rFonts w:asciiTheme="majorHAnsi" w:eastAsia="Geneva" w:hAnsiTheme="majorHAnsi"/>
          <w:bCs/>
          <w:iCs/>
        </w:rPr>
        <w:t xml:space="preserve"> Text je považován za </w:t>
      </w:r>
      <w:r w:rsidR="0048345E" w:rsidRPr="00971C61">
        <w:rPr>
          <w:rFonts w:asciiTheme="majorHAnsi" w:eastAsia="Geneva" w:hAnsiTheme="majorHAnsi"/>
          <w:b/>
          <w:bCs/>
          <w:iCs/>
        </w:rPr>
        <w:t>komplikovaný</w:t>
      </w:r>
      <w:r w:rsidR="0048345E">
        <w:rPr>
          <w:rFonts w:asciiTheme="majorHAnsi" w:eastAsia="Geneva" w:hAnsiTheme="majorHAnsi"/>
          <w:bCs/>
          <w:iCs/>
        </w:rPr>
        <w:t xml:space="preserve">, příliš </w:t>
      </w:r>
      <w:r w:rsidR="0048345E" w:rsidRPr="00971C61">
        <w:rPr>
          <w:rFonts w:asciiTheme="majorHAnsi" w:eastAsia="Geneva" w:hAnsiTheme="majorHAnsi"/>
          <w:b/>
          <w:bCs/>
          <w:iCs/>
        </w:rPr>
        <w:t>akademický</w:t>
      </w:r>
      <w:r w:rsidR="0048345E">
        <w:rPr>
          <w:rFonts w:asciiTheme="majorHAnsi" w:eastAsia="Geneva" w:hAnsiTheme="majorHAnsi"/>
          <w:bCs/>
          <w:iCs/>
        </w:rPr>
        <w:t xml:space="preserve"> s absencí </w:t>
      </w:r>
      <w:r w:rsidR="0048345E" w:rsidRPr="00971C61">
        <w:rPr>
          <w:rFonts w:asciiTheme="majorHAnsi" w:eastAsia="Geneva" w:hAnsiTheme="majorHAnsi"/>
          <w:b/>
          <w:bCs/>
          <w:iCs/>
        </w:rPr>
        <w:t xml:space="preserve">jasných a jednoznačných formulací </w:t>
      </w:r>
      <w:r w:rsidR="0048345E">
        <w:rPr>
          <w:rFonts w:asciiTheme="majorHAnsi" w:eastAsia="Geneva" w:hAnsiTheme="majorHAnsi"/>
          <w:bCs/>
          <w:iCs/>
        </w:rPr>
        <w:t>srozumitelných i</w:t>
      </w:r>
      <w:r w:rsidR="00966061">
        <w:rPr>
          <w:rFonts w:asciiTheme="majorHAnsi" w:eastAsia="Geneva" w:hAnsiTheme="majorHAnsi"/>
          <w:bCs/>
          <w:iCs/>
        </w:rPr>
        <w:t> </w:t>
      </w:r>
      <w:r w:rsidR="0048345E">
        <w:rPr>
          <w:rFonts w:asciiTheme="majorHAnsi" w:eastAsia="Geneva" w:hAnsiTheme="majorHAnsi"/>
          <w:bCs/>
          <w:iCs/>
        </w:rPr>
        <w:t xml:space="preserve">pro širší odbornou veřejnost. Používaná terminologie </w:t>
      </w:r>
      <w:r>
        <w:rPr>
          <w:rFonts w:asciiTheme="majorHAnsi" w:eastAsia="Geneva" w:hAnsiTheme="majorHAnsi"/>
          <w:bCs/>
          <w:iCs/>
        </w:rPr>
        <w:t>je</w:t>
      </w:r>
      <w:r w:rsidR="0048345E">
        <w:rPr>
          <w:rFonts w:asciiTheme="majorHAnsi" w:eastAsia="Geneva" w:hAnsiTheme="majorHAnsi"/>
          <w:bCs/>
          <w:iCs/>
        </w:rPr>
        <w:t xml:space="preserve"> napříč dokumentem </w:t>
      </w:r>
      <w:r w:rsidRPr="00971C61">
        <w:rPr>
          <w:rFonts w:asciiTheme="majorHAnsi" w:eastAsia="Geneva" w:hAnsiTheme="majorHAnsi"/>
          <w:b/>
          <w:bCs/>
          <w:iCs/>
        </w:rPr>
        <w:t>ne</w:t>
      </w:r>
      <w:r w:rsidR="0048345E" w:rsidRPr="00971C61">
        <w:rPr>
          <w:rFonts w:asciiTheme="majorHAnsi" w:eastAsia="Geneva" w:hAnsiTheme="majorHAnsi"/>
          <w:b/>
          <w:bCs/>
          <w:iCs/>
        </w:rPr>
        <w:t>jednotná</w:t>
      </w:r>
      <w:r w:rsidR="00804115">
        <w:rPr>
          <w:rFonts w:asciiTheme="majorHAnsi" w:eastAsia="Geneva" w:hAnsiTheme="majorHAnsi"/>
          <w:b/>
          <w:bCs/>
          <w:iCs/>
        </w:rPr>
        <w:t>.</w:t>
      </w:r>
      <w:r w:rsidR="0048345E">
        <w:rPr>
          <w:rFonts w:asciiTheme="majorHAnsi" w:eastAsia="Geneva" w:hAnsiTheme="majorHAnsi"/>
          <w:bCs/>
          <w:iCs/>
        </w:rPr>
        <w:t xml:space="preserve"> Chybí jasná definice používaných výzkumných a odborných pojmů</w:t>
      </w:r>
      <w:r>
        <w:rPr>
          <w:rFonts w:asciiTheme="majorHAnsi" w:eastAsia="Geneva" w:hAnsiTheme="majorHAnsi"/>
          <w:bCs/>
          <w:iCs/>
        </w:rPr>
        <w:t>, které se v mnoha případech překrývají, příp. jsou v některých situacích používány jako synonyma</w:t>
      </w:r>
      <w:r w:rsidR="0048345E">
        <w:rPr>
          <w:rStyle w:val="Znakapoznpodarou"/>
          <w:rFonts w:asciiTheme="majorHAnsi" w:eastAsia="Geneva" w:hAnsiTheme="majorHAnsi"/>
          <w:bCs/>
          <w:iCs/>
        </w:rPr>
        <w:footnoteReference w:id="44"/>
      </w:r>
      <w:r w:rsidR="0048345E">
        <w:rPr>
          <w:rFonts w:asciiTheme="majorHAnsi" w:eastAsia="Geneva" w:hAnsiTheme="majorHAnsi"/>
          <w:bCs/>
          <w:iCs/>
        </w:rPr>
        <w:t xml:space="preserve">. </w:t>
      </w:r>
    </w:p>
    <w:p w14:paraId="144CFC14" w14:textId="77777777" w:rsidR="00A12234" w:rsidRDefault="00A12234" w:rsidP="00714704">
      <w:pPr>
        <w:suppressAutoHyphens/>
        <w:autoSpaceDE w:val="0"/>
        <w:spacing w:before="120" w:after="120"/>
        <w:rPr>
          <w:rFonts w:asciiTheme="majorHAnsi" w:eastAsia="Geneva" w:hAnsiTheme="majorHAnsi"/>
          <w:bCs/>
          <w:iCs/>
        </w:rPr>
      </w:pPr>
    </w:p>
    <w:p w14:paraId="686F39F2" w14:textId="77777777" w:rsidR="007150D8" w:rsidRDefault="007150D8" w:rsidP="00714704">
      <w:pPr>
        <w:suppressAutoHyphens/>
        <w:autoSpaceDE w:val="0"/>
        <w:spacing w:before="120" w:after="120"/>
        <w:rPr>
          <w:rFonts w:asciiTheme="majorHAnsi" w:eastAsia="Geneva" w:hAnsiTheme="majorHAnsi"/>
          <w:bCs/>
          <w:iCs/>
          <w:u w:val="single"/>
        </w:rPr>
      </w:pPr>
    </w:p>
    <w:p w14:paraId="0E0ED8FA" w14:textId="77777777" w:rsidR="007150D8" w:rsidRDefault="007150D8" w:rsidP="00714704">
      <w:pPr>
        <w:suppressAutoHyphens/>
        <w:autoSpaceDE w:val="0"/>
        <w:spacing w:before="120" w:after="120"/>
        <w:rPr>
          <w:rFonts w:asciiTheme="majorHAnsi" w:eastAsia="Geneva" w:hAnsiTheme="majorHAnsi"/>
          <w:bCs/>
          <w:iCs/>
          <w:u w:val="single"/>
        </w:rPr>
      </w:pPr>
    </w:p>
    <w:p w14:paraId="6AA69D0C" w14:textId="77777777" w:rsidR="00AD5500" w:rsidRPr="008C0580" w:rsidRDefault="00AD5500" w:rsidP="00714704">
      <w:pPr>
        <w:suppressAutoHyphens/>
        <w:autoSpaceDE w:val="0"/>
        <w:spacing w:before="120" w:after="120"/>
        <w:rPr>
          <w:rFonts w:asciiTheme="majorHAnsi" w:eastAsia="Geneva" w:hAnsiTheme="majorHAnsi"/>
          <w:bCs/>
          <w:iCs/>
          <w:u w:val="single"/>
        </w:rPr>
      </w:pPr>
      <w:r w:rsidRPr="008C0580">
        <w:rPr>
          <w:rFonts w:asciiTheme="majorHAnsi" w:eastAsia="Geneva" w:hAnsiTheme="majorHAnsi"/>
          <w:bCs/>
          <w:iCs/>
          <w:u w:val="single"/>
        </w:rPr>
        <w:lastRenderedPageBreak/>
        <w:t>2) Zacílení</w:t>
      </w:r>
      <w:r w:rsidR="006E162A">
        <w:rPr>
          <w:rFonts w:asciiTheme="majorHAnsi" w:eastAsia="Geneva" w:hAnsiTheme="majorHAnsi"/>
          <w:bCs/>
          <w:iCs/>
          <w:u w:val="single"/>
        </w:rPr>
        <w:t xml:space="preserve">, resp. </w:t>
      </w:r>
      <w:r w:rsidR="008C0580" w:rsidRPr="008C0580">
        <w:rPr>
          <w:rFonts w:asciiTheme="majorHAnsi" w:eastAsia="Geneva" w:hAnsiTheme="majorHAnsi"/>
          <w:bCs/>
          <w:iCs/>
          <w:u w:val="single"/>
        </w:rPr>
        <w:t>specializace Národní RIS3 strategie</w:t>
      </w:r>
    </w:p>
    <w:p w14:paraId="14E3D856" w14:textId="5AF04757" w:rsidR="003D44B9" w:rsidRDefault="00AD5500" w:rsidP="00714704">
      <w:pPr>
        <w:suppressAutoHyphens/>
        <w:autoSpaceDE w:val="0"/>
        <w:spacing w:before="120" w:after="120"/>
        <w:rPr>
          <w:rFonts w:asciiTheme="majorHAnsi" w:eastAsia="Geneva" w:hAnsiTheme="majorHAnsi"/>
          <w:bCs/>
          <w:iCs/>
        </w:rPr>
      </w:pPr>
      <w:r>
        <w:rPr>
          <w:rFonts w:asciiTheme="majorHAnsi" w:eastAsia="Geneva" w:hAnsiTheme="majorHAnsi"/>
          <w:bCs/>
          <w:iCs/>
        </w:rPr>
        <w:t xml:space="preserve">V současné podobě je Národní RIS3 strategie </w:t>
      </w:r>
      <w:r w:rsidRPr="00A024D6">
        <w:rPr>
          <w:rFonts w:asciiTheme="majorHAnsi" w:eastAsia="Geneva" w:hAnsiTheme="majorHAnsi"/>
          <w:b/>
          <w:bCs/>
          <w:iCs/>
        </w:rPr>
        <w:t xml:space="preserve">obecným a </w:t>
      </w:r>
      <w:r w:rsidR="00804115">
        <w:rPr>
          <w:rFonts w:asciiTheme="majorHAnsi" w:eastAsia="Geneva" w:hAnsiTheme="majorHAnsi"/>
          <w:b/>
          <w:bCs/>
          <w:iCs/>
        </w:rPr>
        <w:t>rozsáhlým</w:t>
      </w:r>
      <w:r w:rsidR="00804115" w:rsidRPr="00A024D6">
        <w:rPr>
          <w:rFonts w:asciiTheme="majorHAnsi" w:eastAsia="Geneva" w:hAnsiTheme="majorHAnsi"/>
          <w:b/>
          <w:bCs/>
          <w:iCs/>
        </w:rPr>
        <w:t xml:space="preserve"> </w:t>
      </w:r>
      <w:r w:rsidRPr="00A024D6">
        <w:rPr>
          <w:rFonts w:asciiTheme="majorHAnsi" w:eastAsia="Geneva" w:hAnsiTheme="majorHAnsi"/>
          <w:b/>
          <w:bCs/>
          <w:iCs/>
        </w:rPr>
        <w:t>dokumentem,</w:t>
      </w:r>
      <w:r w:rsidR="001D005E">
        <w:rPr>
          <w:rFonts w:asciiTheme="majorHAnsi" w:eastAsia="Geneva" w:hAnsiTheme="majorHAnsi"/>
          <w:b/>
          <w:bCs/>
          <w:iCs/>
        </w:rPr>
        <w:t xml:space="preserve"> </w:t>
      </w:r>
      <w:r w:rsidR="001D005E">
        <w:rPr>
          <w:rFonts w:asciiTheme="majorHAnsi" w:eastAsia="Geneva" w:hAnsiTheme="majorHAnsi"/>
          <w:bCs/>
          <w:iCs/>
        </w:rPr>
        <w:t>ve kterém je uvedena nižší míra</w:t>
      </w:r>
      <w:r w:rsidRPr="00A024D6">
        <w:rPr>
          <w:rFonts w:asciiTheme="majorHAnsi" w:eastAsia="Geneva" w:hAnsiTheme="majorHAnsi"/>
          <w:b/>
          <w:bCs/>
          <w:iCs/>
        </w:rPr>
        <w:t xml:space="preserve">  zacílení</w:t>
      </w:r>
      <w:r>
        <w:rPr>
          <w:rFonts w:asciiTheme="majorHAnsi" w:eastAsia="Geneva" w:hAnsiTheme="majorHAnsi"/>
          <w:bCs/>
          <w:iCs/>
        </w:rPr>
        <w:t>.</w:t>
      </w:r>
      <w:r w:rsidR="003D44B9">
        <w:rPr>
          <w:rFonts w:asciiTheme="majorHAnsi" w:eastAsia="Geneva" w:hAnsiTheme="majorHAnsi"/>
          <w:bCs/>
          <w:iCs/>
        </w:rPr>
        <w:t xml:space="preserve"> </w:t>
      </w:r>
    </w:p>
    <w:p w14:paraId="03EF2234" w14:textId="77777777" w:rsidR="003D44B9" w:rsidRPr="00946E82" w:rsidRDefault="003D44B9" w:rsidP="003D44B9">
      <w:pPr>
        <w:suppressAutoHyphens/>
        <w:autoSpaceDE w:val="0"/>
        <w:spacing w:after="120"/>
        <w:rPr>
          <w:rFonts w:asciiTheme="majorHAnsi" w:eastAsia="Geneva" w:hAnsiTheme="majorHAnsi"/>
          <w:bCs/>
          <w:iCs/>
        </w:rPr>
      </w:pPr>
      <w:r>
        <w:rPr>
          <w:rFonts w:asciiTheme="majorHAnsi" w:eastAsia="Geneva" w:hAnsiTheme="majorHAnsi"/>
          <w:bCs/>
          <w:iCs/>
        </w:rPr>
        <w:t xml:space="preserve">Stakeholdeři postrádají jednoznačné </w:t>
      </w:r>
      <w:r w:rsidRPr="005624F7">
        <w:rPr>
          <w:rFonts w:asciiTheme="majorHAnsi" w:eastAsia="Geneva" w:hAnsiTheme="majorHAnsi"/>
          <w:b/>
          <w:bCs/>
          <w:iCs/>
        </w:rPr>
        <w:t>zacílení a koncentrac</w:t>
      </w:r>
      <w:r w:rsidR="003B3E9F">
        <w:rPr>
          <w:rFonts w:asciiTheme="majorHAnsi" w:eastAsia="Geneva" w:hAnsiTheme="majorHAnsi"/>
          <w:b/>
          <w:bCs/>
          <w:iCs/>
        </w:rPr>
        <w:t>i</w:t>
      </w:r>
      <w:r w:rsidRPr="005624F7">
        <w:rPr>
          <w:rFonts w:asciiTheme="majorHAnsi" w:eastAsia="Geneva" w:hAnsiTheme="majorHAnsi"/>
          <w:b/>
          <w:bCs/>
          <w:iCs/>
        </w:rPr>
        <w:t xml:space="preserve"> podpory</w:t>
      </w:r>
      <w:r>
        <w:rPr>
          <w:rFonts w:asciiTheme="majorHAnsi" w:eastAsia="Geneva" w:hAnsiTheme="majorHAnsi"/>
          <w:bCs/>
          <w:iCs/>
        </w:rPr>
        <w:t xml:space="preserve"> na </w:t>
      </w:r>
      <w:r w:rsidRPr="003B3E9F">
        <w:rPr>
          <w:rFonts w:asciiTheme="majorHAnsi" w:eastAsia="Geneva" w:hAnsiTheme="majorHAnsi"/>
          <w:b/>
          <w:bCs/>
          <w:iCs/>
        </w:rPr>
        <w:t>nosné priority</w:t>
      </w:r>
      <w:r>
        <w:rPr>
          <w:rFonts w:asciiTheme="majorHAnsi" w:eastAsia="Geneva" w:hAnsiTheme="majorHAnsi"/>
          <w:bCs/>
          <w:iCs/>
        </w:rPr>
        <w:t xml:space="preserve"> aplikovaného výzkumu a vývoje pro české hospodářství</w:t>
      </w:r>
      <w:r w:rsidR="003B3E9F">
        <w:rPr>
          <w:rFonts w:asciiTheme="majorHAnsi" w:eastAsia="Geneva" w:hAnsiTheme="majorHAnsi"/>
          <w:bCs/>
          <w:iCs/>
        </w:rPr>
        <w:t xml:space="preserve"> a</w:t>
      </w:r>
      <w:r>
        <w:rPr>
          <w:rFonts w:asciiTheme="majorHAnsi" w:eastAsia="Geneva" w:hAnsiTheme="majorHAnsi"/>
          <w:bCs/>
          <w:iCs/>
        </w:rPr>
        <w:t xml:space="preserve"> </w:t>
      </w:r>
      <w:r w:rsidRPr="00AD512B">
        <w:rPr>
          <w:rFonts w:asciiTheme="majorHAnsi" w:eastAsia="Geneva" w:hAnsiTheme="majorHAnsi"/>
          <w:b/>
          <w:bCs/>
          <w:iCs/>
        </w:rPr>
        <w:t>užší vymezení</w:t>
      </w:r>
      <w:r>
        <w:rPr>
          <w:rFonts w:asciiTheme="majorHAnsi" w:eastAsia="Geneva" w:hAnsiTheme="majorHAnsi"/>
          <w:bCs/>
          <w:iCs/>
        </w:rPr>
        <w:t xml:space="preserve"> aplikačních odvětví</w:t>
      </w:r>
      <w:r w:rsidR="006E162A">
        <w:rPr>
          <w:rFonts w:asciiTheme="majorHAnsi" w:eastAsia="Geneva" w:hAnsiTheme="majorHAnsi"/>
          <w:bCs/>
          <w:iCs/>
        </w:rPr>
        <w:t xml:space="preserve">.  (citace respondenta: </w:t>
      </w:r>
      <w:r w:rsidRPr="005624F7">
        <w:rPr>
          <w:rFonts w:asciiTheme="majorHAnsi" w:eastAsia="Geneva" w:hAnsiTheme="majorHAnsi"/>
          <w:bCs/>
          <w:i/>
          <w:iCs/>
        </w:rPr>
        <w:t>„skutečná a nesmlouvavá prioritizace“</w:t>
      </w:r>
      <w:r>
        <w:rPr>
          <w:rFonts w:asciiTheme="majorHAnsi" w:eastAsia="Geneva" w:hAnsiTheme="majorHAnsi"/>
          <w:bCs/>
          <w:i/>
          <w:iCs/>
        </w:rPr>
        <w:t xml:space="preserve">. </w:t>
      </w:r>
      <w:r w:rsidRPr="005624F7">
        <w:rPr>
          <w:rFonts w:asciiTheme="majorHAnsi" w:eastAsia="Geneva" w:hAnsiTheme="majorHAnsi"/>
          <w:bCs/>
          <w:i/>
          <w:iCs/>
        </w:rPr>
        <w:t>„Není cílem být nejlepší ve všem, ale zaměřit se na směry, ve kterých můžeme být konkurenceschopní z celosvětového pohledu.“</w:t>
      </w:r>
      <w:r w:rsidR="006E162A">
        <w:rPr>
          <w:rFonts w:asciiTheme="majorHAnsi" w:eastAsia="Geneva" w:hAnsiTheme="majorHAnsi"/>
          <w:bCs/>
          <w:i/>
          <w:iCs/>
        </w:rPr>
        <w:t>)</w:t>
      </w:r>
    </w:p>
    <w:p w14:paraId="07FFD8E5" w14:textId="134F2ECA" w:rsidR="00AD5500" w:rsidRDefault="003D44B9" w:rsidP="00714704">
      <w:pPr>
        <w:suppressAutoHyphens/>
        <w:autoSpaceDE w:val="0"/>
        <w:spacing w:before="120" w:after="120"/>
        <w:rPr>
          <w:rFonts w:asciiTheme="majorHAnsi" w:eastAsia="Geneva" w:hAnsiTheme="majorHAnsi"/>
          <w:bCs/>
          <w:i/>
          <w:iCs/>
        </w:rPr>
      </w:pPr>
      <w:r w:rsidRPr="00A024D6">
        <w:rPr>
          <w:rFonts w:asciiTheme="majorHAnsi" w:eastAsia="Geneva" w:hAnsiTheme="majorHAnsi"/>
          <w:b/>
          <w:bCs/>
          <w:iCs/>
        </w:rPr>
        <w:t>Znalostní domény a aplikační odvětví jsou formulována obecně a široce</w:t>
      </w:r>
      <w:r>
        <w:rPr>
          <w:rFonts w:asciiTheme="majorHAnsi" w:eastAsia="Geneva" w:hAnsiTheme="majorHAnsi"/>
          <w:bCs/>
          <w:iCs/>
        </w:rPr>
        <w:t xml:space="preserve">, že prokázání souladu předkládaného projektu s Národní RIS3 strategií je poměrně snadné. </w:t>
      </w:r>
    </w:p>
    <w:p w14:paraId="7D307EE9" w14:textId="77777777" w:rsidR="00714704" w:rsidRPr="0094763F" w:rsidRDefault="006E162A" w:rsidP="00714704">
      <w:pPr>
        <w:suppressAutoHyphens/>
        <w:autoSpaceDE w:val="0"/>
        <w:spacing w:before="120" w:after="120"/>
        <w:rPr>
          <w:rFonts w:asciiTheme="majorHAnsi" w:eastAsia="Geneva" w:hAnsiTheme="majorHAnsi"/>
          <w:bCs/>
          <w:iCs/>
          <w:u w:val="single"/>
        </w:rPr>
      </w:pPr>
      <w:r>
        <w:rPr>
          <w:rFonts w:asciiTheme="majorHAnsi" w:eastAsia="Geneva" w:hAnsiTheme="majorHAnsi"/>
          <w:bCs/>
          <w:iCs/>
          <w:u w:val="single"/>
        </w:rPr>
        <w:t>3</w:t>
      </w:r>
      <w:r w:rsidR="00714704" w:rsidRPr="0094763F">
        <w:rPr>
          <w:rFonts w:asciiTheme="majorHAnsi" w:eastAsia="Geneva" w:hAnsiTheme="majorHAnsi"/>
          <w:bCs/>
          <w:iCs/>
          <w:u w:val="single"/>
        </w:rPr>
        <w:t>) Provázanost na další strategie a procesy</w:t>
      </w:r>
      <w:r w:rsidR="00714704">
        <w:rPr>
          <w:rFonts w:asciiTheme="majorHAnsi" w:eastAsia="Geneva" w:hAnsiTheme="majorHAnsi"/>
          <w:bCs/>
          <w:iCs/>
          <w:u w:val="single"/>
        </w:rPr>
        <w:t>, vzájemná koordinace</w:t>
      </w:r>
    </w:p>
    <w:p w14:paraId="4881B9EA" w14:textId="3DFFBD0D" w:rsidR="00714704" w:rsidRDefault="00AB677F" w:rsidP="00714704">
      <w:pPr>
        <w:suppressAutoHyphens/>
        <w:autoSpaceDE w:val="0"/>
        <w:spacing w:before="120" w:after="120"/>
        <w:rPr>
          <w:rFonts w:asciiTheme="majorHAnsi" w:eastAsia="Geneva" w:hAnsiTheme="majorHAnsi"/>
          <w:bCs/>
          <w:iCs/>
        </w:rPr>
      </w:pPr>
      <w:r>
        <w:rPr>
          <w:rFonts w:asciiTheme="majorHAnsi" w:eastAsia="Geneva" w:hAnsiTheme="majorHAnsi"/>
          <w:bCs/>
          <w:iCs/>
        </w:rPr>
        <w:t xml:space="preserve">Nižší </w:t>
      </w:r>
      <w:r w:rsidR="00714704">
        <w:rPr>
          <w:rFonts w:asciiTheme="majorHAnsi" w:eastAsia="Geneva" w:hAnsiTheme="majorHAnsi"/>
          <w:bCs/>
          <w:iCs/>
        </w:rPr>
        <w:t>provázanost a koordinac</w:t>
      </w:r>
      <w:r w:rsidR="006E162A">
        <w:rPr>
          <w:rFonts w:asciiTheme="majorHAnsi" w:eastAsia="Geneva" w:hAnsiTheme="majorHAnsi"/>
          <w:bCs/>
          <w:iCs/>
        </w:rPr>
        <w:t>e</w:t>
      </w:r>
      <w:r w:rsidR="00714704">
        <w:rPr>
          <w:rFonts w:asciiTheme="majorHAnsi" w:eastAsia="Geneva" w:hAnsiTheme="majorHAnsi"/>
          <w:bCs/>
          <w:iCs/>
        </w:rPr>
        <w:t xml:space="preserve"> Národní RIS3 strategie </w:t>
      </w:r>
      <w:r w:rsidR="006E162A">
        <w:rPr>
          <w:rFonts w:asciiTheme="majorHAnsi" w:eastAsia="Geneva" w:hAnsiTheme="majorHAnsi"/>
          <w:bCs/>
          <w:iCs/>
        </w:rPr>
        <w:t xml:space="preserve">je spatřována </w:t>
      </w:r>
      <w:r w:rsidR="00714704">
        <w:rPr>
          <w:rFonts w:asciiTheme="majorHAnsi" w:eastAsia="Geneva" w:hAnsiTheme="majorHAnsi"/>
          <w:bCs/>
          <w:iCs/>
        </w:rPr>
        <w:t xml:space="preserve">jak v rovině horizontální, tak vertikální. </w:t>
      </w:r>
    </w:p>
    <w:p w14:paraId="33C616DB" w14:textId="77777777" w:rsidR="00714704" w:rsidRPr="00C61FA1" w:rsidRDefault="00714704" w:rsidP="00714704">
      <w:pPr>
        <w:suppressAutoHyphens/>
        <w:autoSpaceDE w:val="0"/>
        <w:spacing w:before="120" w:after="120"/>
        <w:rPr>
          <w:rFonts w:asciiTheme="majorHAnsi" w:eastAsia="Geneva" w:hAnsiTheme="majorHAnsi"/>
          <w:bCs/>
          <w:i/>
          <w:iCs/>
        </w:rPr>
      </w:pPr>
      <w:r>
        <w:rPr>
          <w:rFonts w:asciiTheme="majorHAnsi" w:eastAsia="Geneva" w:hAnsiTheme="majorHAnsi" w:cstheme="majorHAnsi"/>
          <w:bCs/>
          <w:i/>
          <w:iCs/>
        </w:rPr>
        <w:t>•</w:t>
      </w:r>
      <w:r>
        <w:rPr>
          <w:rFonts w:asciiTheme="majorHAnsi" w:eastAsia="Geneva" w:hAnsiTheme="majorHAnsi"/>
          <w:bCs/>
          <w:i/>
          <w:iCs/>
        </w:rPr>
        <w:t xml:space="preserve"> </w:t>
      </w:r>
      <w:r w:rsidRPr="00C61FA1">
        <w:rPr>
          <w:rFonts w:asciiTheme="majorHAnsi" w:eastAsia="Geneva" w:hAnsiTheme="majorHAnsi"/>
          <w:bCs/>
          <w:i/>
          <w:iCs/>
        </w:rPr>
        <w:t>Horizontální provazby</w:t>
      </w:r>
    </w:p>
    <w:p w14:paraId="5167A906" w14:textId="170468AD" w:rsidR="00714704" w:rsidRDefault="006E162A" w:rsidP="00714704">
      <w:pPr>
        <w:suppressAutoHyphens/>
        <w:autoSpaceDE w:val="0"/>
        <w:spacing w:before="120" w:after="120"/>
        <w:rPr>
          <w:rFonts w:asciiTheme="majorHAnsi" w:eastAsia="Geneva" w:hAnsiTheme="majorHAnsi"/>
          <w:bCs/>
          <w:iCs/>
        </w:rPr>
      </w:pPr>
      <w:r>
        <w:rPr>
          <w:rFonts w:asciiTheme="majorHAnsi" w:eastAsia="Geneva" w:hAnsiTheme="majorHAnsi"/>
          <w:bCs/>
          <w:iCs/>
        </w:rPr>
        <w:t>Stakeholdeři</w:t>
      </w:r>
      <w:r w:rsidR="00714704">
        <w:rPr>
          <w:rFonts w:asciiTheme="majorHAnsi" w:eastAsia="Geneva" w:hAnsiTheme="majorHAnsi"/>
          <w:bCs/>
          <w:iCs/>
        </w:rPr>
        <w:t xml:space="preserve"> poukazují na chybějící koordinaci s dalšími politikami, strategiemi, Akčními plány. Postrádají promítnutí Národní RIS3 strategie do následných programových priorit (zacílení intervencí) a rozhodovacích procesů dalších aktérů (zejména poskytovatelů podpory). </w:t>
      </w:r>
      <w:r>
        <w:rPr>
          <w:rFonts w:asciiTheme="majorHAnsi" w:eastAsia="Geneva" w:hAnsiTheme="majorHAnsi"/>
          <w:bCs/>
          <w:iCs/>
        </w:rPr>
        <w:t>Zejména členům NIP a KIP c</w:t>
      </w:r>
      <w:r w:rsidR="00714704">
        <w:rPr>
          <w:rFonts w:asciiTheme="majorHAnsi" w:eastAsia="Geneva" w:hAnsiTheme="majorHAnsi"/>
          <w:bCs/>
          <w:iCs/>
        </w:rPr>
        <w:t>hybí taktéž provazba s dalšími platformami, fungujícími klastry</w:t>
      </w:r>
      <w:r>
        <w:rPr>
          <w:rFonts w:asciiTheme="majorHAnsi" w:eastAsia="Geneva" w:hAnsiTheme="majorHAnsi"/>
          <w:bCs/>
          <w:iCs/>
        </w:rPr>
        <w:t xml:space="preserve">, </w:t>
      </w:r>
      <w:r w:rsidR="00714704">
        <w:rPr>
          <w:rFonts w:asciiTheme="majorHAnsi" w:eastAsia="Geneva" w:hAnsiTheme="majorHAnsi"/>
          <w:bCs/>
          <w:iCs/>
        </w:rPr>
        <w:t>zpětná vazba od podnikatelských subjektů</w:t>
      </w:r>
      <w:r>
        <w:rPr>
          <w:rFonts w:asciiTheme="majorHAnsi" w:eastAsia="Geneva" w:hAnsiTheme="majorHAnsi"/>
          <w:bCs/>
          <w:iCs/>
        </w:rPr>
        <w:t>, ale také napříč jednotlivými NIP, potažmo KIP</w:t>
      </w:r>
      <w:r w:rsidR="00714704">
        <w:rPr>
          <w:rFonts w:asciiTheme="majorHAnsi" w:eastAsia="Geneva" w:hAnsiTheme="majorHAnsi"/>
          <w:bCs/>
          <w:iCs/>
        </w:rPr>
        <w:t xml:space="preserve">. </w:t>
      </w:r>
    </w:p>
    <w:p w14:paraId="10CC2060" w14:textId="77777777" w:rsidR="00045975" w:rsidRDefault="00045975" w:rsidP="00045975">
      <w:pPr>
        <w:suppressAutoHyphens/>
        <w:autoSpaceDE w:val="0"/>
        <w:spacing w:before="120" w:after="120"/>
        <w:rPr>
          <w:rFonts w:asciiTheme="majorHAnsi" w:eastAsia="Geneva" w:hAnsiTheme="majorHAnsi"/>
          <w:bCs/>
          <w:iCs/>
        </w:rPr>
      </w:pPr>
      <w:r>
        <w:rPr>
          <w:rFonts w:asciiTheme="majorHAnsi" w:eastAsia="Geneva" w:hAnsiTheme="majorHAnsi"/>
          <w:bCs/>
          <w:iCs/>
        </w:rPr>
        <w:t>Jako problematick</w:t>
      </w:r>
      <w:r w:rsidR="00D6369A">
        <w:rPr>
          <w:rFonts w:asciiTheme="majorHAnsi" w:eastAsia="Geneva" w:hAnsiTheme="majorHAnsi"/>
          <w:bCs/>
          <w:iCs/>
        </w:rPr>
        <w:t>é</w:t>
      </w:r>
      <w:r>
        <w:rPr>
          <w:rFonts w:asciiTheme="majorHAnsi" w:eastAsia="Geneva" w:hAnsiTheme="majorHAnsi"/>
          <w:bCs/>
          <w:iCs/>
        </w:rPr>
        <w:t xml:space="preserve"> se jeví zejména </w:t>
      </w:r>
      <w:r w:rsidR="00D6369A">
        <w:rPr>
          <w:rFonts w:asciiTheme="majorHAnsi" w:eastAsia="Geneva" w:hAnsiTheme="majorHAnsi"/>
          <w:bCs/>
          <w:iCs/>
        </w:rPr>
        <w:t>vazby</w:t>
      </w:r>
      <w:r>
        <w:rPr>
          <w:rFonts w:asciiTheme="majorHAnsi" w:eastAsia="Geneva" w:hAnsiTheme="majorHAnsi"/>
          <w:bCs/>
          <w:iCs/>
        </w:rPr>
        <w:t xml:space="preserve"> Národní RIS3 strategie na Národní politiku výzkumu, vývoje a inovací ČR</w:t>
      </w:r>
      <w:r w:rsidR="00D6369A">
        <w:rPr>
          <w:rFonts w:asciiTheme="majorHAnsi" w:eastAsia="Geneva" w:hAnsiTheme="majorHAnsi"/>
          <w:bCs/>
          <w:iCs/>
        </w:rPr>
        <w:t xml:space="preserve">, kdy velká část respondentů (i z odborné veřejnosti) </w:t>
      </w:r>
      <w:r w:rsidR="00804115">
        <w:rPr>
          <w:rFonts w:asciiTheme="majorHAnsi" w:eastAsia="Geneva" w:hAnsiTheme="majorHAnsi"/>
          <w:bCs/>
          <w:iCs/>
        </w:rPr>
        <w:t>se domnívá, že</w:t>
      </w:r>
      <w:r w:rsidR="00D6369A">
        <w:rPr>
          <w:rFonts w:asciiTheme="majorHAnsi" w:eastAsia="Geneva" w:hAnsiTheme="majorHAnsi"/>
          <w:bCs/>
          <w:iCs/>
        </w:rPr>
        <w:t xml:space="preserve"> tyto dokumenty nemají jasně vymezen svůj vztah</w:t>
      </w:r>
      <w:r>
        <w:rPr>
          <w:rFonts w:asciiTheme="majorHAnsi" w:eastAsia="Geneva" w:hAnsiTheme="majorHAnsi"/>
          <w:bCs/>
          <w:iCs/>
        </w:rPr>
        <w:t xml:space="preserve">. </w:t>
      </w:r>
    </w:p>
    <w:p w14:paraId="0202CA83" w14:textId="77777777" w:rsidR="00714704" w:rsidRPr="00B30A52" w:rsidRDefault="00714704" w:rsidP="00714704">
      <w:pPr>
        <w:suppressAutoHyphens/>
        <w:autoSpaceDE w:val="0"/>
        <w:spacing w:before="120" w:after="120"/>
        <w:rPr>
          <w:rFonts w:asciiTheme="majorHAnsi" w:eastAsia="Geneva" w:hAnsiTheme="majorHAnsi"/>
          <w:bCs/>
          <w:i/>
          <w:iCs/>
        </w:rPr>
      </w:pPr>
      <w:r>
        <w:rPr>
          <w:rFonts w:asciiTheme="majorHAnsi" w:eastAsia="Geneva" w:hAnsiTheme="majorHAnsi"/>
          <w:bCs/>
          <w:i/>
          <w:iCs/>
        </w:rPr>
        <w:t xml:space="preserve">• </w:t>
      </w:r>
      <w:r w:rsidRPr="00B30A52">
        <w:rPr>
          <w:rFonts w:asciiTheme="majorHAnsi" w:eastAsia="Geneva" w:hAnsiTheme="majorHAnsi"/>
          <w:bCs/>
          <w:i/>
          <w:iCs/>
        </w:rPr>
        <w:t>Vertikální provazby</w:t>
      </w:r>
    </w:p>
    <w:p w14:paraId="401FA994" w14:textId="77777777" w:rsidR="00714704" w:rsidRDefault="00714704" w:rsidP="00714704">
      <w:pPr>
        <w:suppressAutoHyphens/>
        <w:autoSpaceDE w:val="0"/>
        <w:spacing w:before="120" w:after="120"/>
        <w:rPr>
          <w:rFonts w:asciiTheme="majorHAnsi" w:eastAsia="Geneva" w:hAnsiTheme="majorHAnsi"/>
          <w:bCs/>
          <w:iCs/>
        </w:rPr>
      </w:pPr>
      <w:r>
        <w:rPr>
          <w:rFonts w:asciiTheme="majorHAnsi" w:eastAsia="Geneva" w:hAnsiTheme="majorHAnsi"/>
          <w:bCs/>
          <w:iCs/>
        </w:rPr>
        <w:t xml:space="preserve">Akcentovanou slabou stránkou je nízká míra provázanosti s krajskými RIS3 strategiemi, a to jak v rovině obsahové, tak v rovině implementační. Chybí provázanost národní úrovně (NIP, Řídicí výbor) s krajskými inovačními platformami a krajskými radami pro inovace. </w:t>
      </w:r>
    </w:p>
    <w:p w14:paraId="19B97022" w14:textId="77777777" w:rsidR="00714704" w:rsidRDefault="00714704" w:rsidP="00714704">
      <w:pPr>
        <w:suppressAutoHyphens/>
        <w:autoSpaceDE w:val="0"/>
        <w:spacing w:before="120" w:after="120"/>
        <w:rPr>
          <w:rFonts w:asciiTheme="majorHAnsi" w:eastAsia="Geneva" w:hAnsiTheme="majorHAnsi"/>
          <w:bCs/>
          <w:iCs/>
        </w:rPr>
      </w:pPr>
      <w:r>
        <w:rPr>
          <w:rFonts w:asciiTheme="majorHAnsi" w:eastAsia="Geneva" w:hAnsiTheme="majorHAnsi"/>
          <w:bCs/>
          <w:iCs/>
        </w:rPr>
        <w:t xml:space="preserve">Národní RIS3 </w:t>
      </w:r>
      <w:r w:rsidR="00804115">
        <w:rPr>
          <w:rFonts w:asciiTheme="majorHAnsi" w:eastAsia="Geneva" w:hAnsiTheme="majorHAnsi"/>
          <w:bCs/>
          <w:iCs/>
        </w:rPr>
        <w:t xml:space="preserve">strategie </w:t>
      </w:r>
      <w:r>
        <w:rPr>
          <w:rFonts w:asciiTheme="majorHAnsi" w:eastAsia="Geneva" w:hAnsiTheme="majorHAnsi"/>
          <w:bCs/>
          <w:iCs/>
        </w:rPr>
        <w:t xml:space="preserve">je tudíž považována pouze za formální a </w:t>
      </w:r>
      <w:r w:rsidRPr="00B30A52">
        <w:rPr>
          <w:rFonts w:asciiTheme="majorHAnsi" w:eastAsia="Geneva" w:hAnsiTheme="majorHAnsi"/>
          <w:bCs/>
          <w:i/>
          <w:iCs/>
        </w:rPr>
        <w:t>„izolovaný“</w:t>
      </w:r>
      <w:r>
        <w:rPr>
          <w:rFonts w:asciiTheme="majorHAnsi" w:eastAsia="Geneva" w:hAnsiTheme="majorHAnsi"/>
          <w:bCs/>
          <w:iCs/>
        </w:rPr>
        <w:t xml:space="preserve"> dokument bez reálných dopadů.</w:t>
      </w:r>
    </w:p>
    <w:p w14:paraId="7A0F78E7" w14:textId="77777777" w:rsidR="00714704" w:rsidRPr="000A4648" w:rsidRDefault="000A4648" w:rsidP="006A2372">
      <w:pPr>
        <w:rPr>
          <w:bCs/>
          <w:szCs w:val="22"/>
          <w:u w:val="single"/>
        </w:rPr>
      </w:pPr>
      <w:r w:rsidRPr="000A4648">
        <w:rPr>
          <w:bCs/>
          <w:szCs w:val="22"/>
          <w:u w:val="single"/>
        </w:rPr>
        <w:t>3) Sdílení účelu a významu Národní RIS3 strategie</w:t>
      </w:r>
    </w:p>
    <w:p w14:paraId="3E9E2ABB" w14:textId="77777777" w:rsidR="000A4648" w:rsidRDefault="000A4648" w:rsidP="000A4648">
      <w:pPr>
        <w:suppressAutoHyphens/>
        <w:autoSpaceDE w:val="0"/>
        <w:spacing w:before="120" w:after="120"/>
        <w:rPr>
          <w:rFonts w:asciiTheme="majorHAnsi" w:eastAsia="Geneva" w:hAnsiTheme="majorHAnsi"/>
          <w:bCs/>
          <w:iCs/>
        </w:rPr>
      </w:pPr>
      <w:r>
        <w:rPr>
          <w:rFonts w:asciiTheme="majorHAnsi" w:eastAsia="Geneva" w:hAnsiTheme="majorHAnsi"/>
          <w:bCs/>
          <w:iCs/>
        </w:rPr>
        <w:t xml:space="preserve">Stakeholdeři </w:t>
      </w:r>
      <w:r w:rsidR="009B1CDC">
        <w:rPr>
          <w:rFonts w:asciiTheme="majorHAnsi" w:eastAsia="Geneva" w:hAnsiTheme="majorHAnsi"/>
          <w:bCs/>
          <w:iCs/>
        </w:rPr>
        <w:t xml:space="preserve">ve velké míře </w:t>
      </w:r>
      <w:r>
        <w:rPr>
          <w:rFonts w:asciiTheme="majorHAnsi" w:eastAsia="Geneva" w:hAnsiTheme="majorHAnsi"/>
          <w:bCs/>
          <w:iCs/>
        </w:rPr>
        <w:t xml:space="preserve">poukazují na to, že Národní RIS3 strategie není </w:t>
      </w:r>
      <w:r w:rsidRPr="009B1CDC">
        <w:rPr>
          <w:rFonts w:asciiTheme="majorHAnsi" w:eastAsia="Geneva" w:hAnsiTheme="majorHAnsi"/>
          <w:b/>
          <w:bCs/>
          <w:iCs/>
        </w:rPr>
        <w:t>dostatečně prezentována</w:t>
      </w:r>
      <w:r>
        <w:rPr>
          <w:rFonts w:asciiTheme="majorHAnsi" w:eastAsia="Geneva" w:hAnsiTheme="majorHAnsi"/>
          <w:bCs/>
          <w:iCs/>
        </w:rPr>
        <w:t>, což její význam v očích odborné i široké veřejnosti snižuje.</w:t>
      </w:r>
      <w:r w:rsidR="009B1CDC">
        <w:rPr>
          <w:rFonts w:asciiTheme="majorHAnsi" w:eastAsia="Geneva" w:hAnsiTheme="majorHAnsi"/>
          <w:bCs/>
          <w:iCs/>
        </w:rPr>
        <w:t xml:space="preserve"> (citace respondenta:</w:t>
      </w:r>
      <w:r>
        <w:rPr>
          <w:rFonts w:asciiTheme="majorHAnsi" w:eastAsia="Geneva" w:hAnsiTheme="majorHAnsi"/>
          <w:bCs/>
          <w:iCs/>
        </w:rPr>
        <w:t xml:space="preserve"> „</w:t>
      </w:r>
      <w:r w:rsidRPr="00C61FA1">
        <w:rPr>
          <w:rFonts w:asciiTheme="majorHAnsi" w:eastAsia="Geneva" w:hAnsiTheme="majorHAnsi"/>
          <w:bCs/>
          <w:i/>
          <w:iCs/>
        </w:rPr>
        <w:t>RIS3 strategie není celou sférou VaVaI brána vážně, nesehrává významnou roli, neovlivňuje podobu VaVaI v ČR, její činnost je formální.</w:t>
      </w:r>
      <w:r>
        <w:rPr>
          <w:rFonts w:asciiTheme="majorHAnsi" w:eastAsia="Geneva" w:hAnsiTheme="majorHAnsi"/>
          <w:bCs/>
          <w:iCs/>
        </w:rPr>
        <w:t>“</w:t>
      </w:r>
    </w:p>
    <w:p w14:paraId="54DA28AA" w14:textId="77777777" w:rsidR="009B1CDC" w:rsidRDefault="009B1CDC" w:rsidP="000A4648">
      <w:pPr>
        <w:suppressAutoHyphens/>
        <w:autoSpaceDE w:val="0"/>
        <w:spacing w:before="120" w:after="120"/>
        <w:rPr>
          <w:rFonts w:asciiTheme="majorHAnsi" w:eastAsia="Geneva" w:hAnsiTheme="majorHAnsi"/>
          <w:bCs/>
          <w:iCs/>
        </w:rPr>
      </w:pPr>
      <w:r>
        <w:rPr>
          <w:rFonts w:asciiTheme="majorHAnsi" w:eastAsia="Geneva" w:hAnsiTheme="majorHAnsi"/>
          <w:bCs/>
          <w:iCs/>
        </w:rPr>
        <w:t xml:space="preserve">S tímto úzce souvisí i </w:t>
      </w:r>
      <w:r w:rsidRPr="009B1CDC">
        <w:rPr>
          <w:rFonts w:asciiTheme="majorHAnsi" w:eastAsia="Geneva" w:hAnsiTheme="majorHAnsi"/>
          <w:b/>
          <w:bCs/>
          <w:iCs/>
        </w:rPr>
        <w:t>nízká politická podpora</w:t>
      </w:r>
      <w:r>
        <w:rPr>
          <w:rFonts w:asciiTheme="majorHAnsi" w:eastAsia="Geneva" w:hAnsiTheme="majorHAnsi"/>
          <w:bCs/>
          <w:iCs/>
        </w:rPr>
        <w:t>, kterou účastníci procesu implementace Národní RIS3 vnímají. Nízká politická podpora se projevuje jednak ve slabé angažovanosti politické reprezentace (na národní i krajské úrovni) v realizaci strategie, resp. vůli prosadit změny, tak v mediálním vyjádření její</w:t>
      </w:r>
      <w:r w:rsidR="00045975">
        <w:rPr>
          <w:rFonts w:asciiTheme="majorHAnsi" w:eastAsia="Geneva" w:hAnsiTheme="majorHAnsi"/>
          <w:bCs/>
          <w:iCs/>
        </w:rPr>
        <w:t>ho významu a</w:t>
      </w:r>
      <w:r>
        <w:rPr>
          <w:rFonts w:asciiTheme="majorHAnsi" w:eastAsia="Geneva" w:hAnsiTheme="majorHAnsi"/>
          <w:bCs/>
          <w:iCs/>
        </w:rPr>
        <w:t xml:space="preserve"> podpory.  </w:t>
      </w:r>
    </w:p>
    <w:p w14:paraId="5056EEB4" w14:textId="77777777" w:rsidR="00B7357F" w:rsidRPr="007F3EBD" w:rsidRDefault="004620D6" w:rsidP="007F3EBD">
      <w:pPr>
        <w:pStyle w:val="Nadpis3"/>
        <w:keepNext/>
        <w:keepLines/>
        <w:numPr>
          <w:ilvl w:val="0"/>
          <w:numId w:val="0"/>
        </w:numPr>
        <w:pBdr>
          <w:top w:val="none" w:sz="0" w:space="0" w:color="auto"/>
          <w:left w:val="none" w:sz="0" w:space="0" w:color="auto"/>
        </w:pBdr>
        <w:spacing w:before="40" w:after="0" w:line="293" w:lineRule="auto"/>
        <w:rPr>
          <w:rFonts w:asciiTheme="majorHAnsi" w:eastAsiaTheme="majorEastAsia" w:hAnsiTheme="majorHAnsi" w:cstheme="majorHAnsi"/>
          <w:i/>
          <w:caps/>
          <w:color w:val="004B8D"/>
          <w:spacing w:val="0"/>
          <w:sz w:val="22"/>
          <w:lang w:bidi="ar-SA"/>
        </w:rPr>
      </w:pPr>
      <w:bookmarkStart w:id="47" w:name="_Toc5626454"/>
      <w:r w:rsidRPr="007F3EBD">
        <w:rPr>
          <w:rFonts w:asciiTheme="majorHAnsi" w:eastAsiaTheme="majorEastAsia" w:hAnsiTheme="majorHAnsi" w:cstheme="majorHAnsi"/>
          <w:i/>
          <w:caps/>
          <w:color w:val="004B8D"/>
          <w:spacing w:val="0"/>
          <w:sz w:val="22"/>
          <w:lang w:bidi="ar-SA"/>
        </w:rPr>
        <w:lastRenderedPageBreak/>
        <w:t>Dílčí závěry</w:t>
      </w:r>
      <w:r w:rsidR="00040813">
        <w:rPr>
          <w:rFonts w:asciiTheme="majorHAnsi" w:eastAsiaTheme="majorEastAsia" w:hAnsiTheme="majorHAnsi" w:cstheme="majorHAnsi"/>
          <w:i/>
          <w:caps/>
          <w:color w:val="004B8D"/>
          <w:spacing w:val="0"/>
          <w:sz w:val="22"/>
          <w:lang w:bidi="ar-SA"/>
        </w:rPr>
        <w:t xml:space="preserve"> k evaluačnímu okruhu I.</w:t>
      </w:r>
      <w:bookmarkEnd w:id="47"/>
    </w:p>
    <w:p w14:paraId="32104D47" w14:textId="77777777" w:rsidR="004620D6" w:rsidRPr="0093522F" w:rsidRDefault="004620D6" w:rsidP="00075F59">
      <w:pPr>
        <w:pBdr>
          <w:top w:val="single" w:sz="4" w:space="1" w:color="auto"/>
          <w:left w:val="single" w:sz="4" w:space="4" w:color="auto"/>
          <w:bottom w:val="single" w:sz="4" w:space="1" w:color="auto"/>
          <w:right w:val="single" w:sz="4" w:space="4" w:color="auto"/>
        </w:pBdr>
        <w:shd w:val="clear" w:color="auto" w:fill="D9D9D9" w:themeFill="background1" w:themeFillShade="D9"/>
        <w:rPr>
          <w:lang w:bidi="ar-SA"/>
        </w:rPr>
      </w:pPr>
      <w:r w:rsidRPr="0093522F">
        <w:rPr>
          <w:lang w:bidi="ar-SA"/>
        </w:rPr>
        <w:t xml:space="preserve">Relativně kvalitní analytické závěry k příčinám a důsledkům problémů jednotlivých v oblastech, jichž se strategie dotýká, determinují obsah a strukturu návrhové části. Z hlediska vývoje vnějšího prostředí v období od zpracování analýzy do současnosti lze konstatovat, že závěry formulované v jednotlivých problémových okruzích i navazující SWOT analýza jsou stále aktuální. </w:t>
      </w:r>
      <w:r w:rsidR="00935F02" w:rsidRPr="0093522F">
        <w:rPr>
          <w:lang w:bidi="ar-SA"/>
        </w:rPr>
        <w:t xml:space="preserve">Strategické i specifické cíle jsou dostatečně analyticky podloženy a jsou koherentní s dalšímu národními politikami. </w:t>
      </w:r>
      <w:r w:rsidRPr="0093522F">
        <w:rPr>
          <w:lang w:bidi="ar-SA"/>
        </w:rPr>
        <w:t xml:space="preserve">Lze proto konstatovat, že horizontální zacílení Národní RIS3 strategie je v souladu s aktuální situací a strategické a specifické cíle není potřeba do konce období platnosti strategie v roce 2020 měnit. </w:t>
      </w:r>
    </w:p>
    <w:p w14:paraId="3671671F" w14:textId="77777777" w:rsidR="00935F02" w:rsidRPr="0093522F" w:rsidRDefault="00935F02" w:rsidP="00075F59">
      <w:pPr>
        <w:pBdr>
          <w:top w:val="single" w:sz="4" w:space="1" w:color="auto"/>
          <w:left w:val="single" w:sz="4" w:space="4" w:color="auto"/>
          <w:bottom w:val="single" w:sz="4" w:space="1" w:color="auto"/>
          <w:right w:val="single" w:sz="4" w:space="4" w:color="auto"/>
        </w:pBdr>
        <w:shd w:val="clear" w:color="auto" w:fill="D9D9D9" w:themeFill="background1" w:themeFillShade="D9"/>
        <w:rPr>
          <w:lang w:bidi="ar-SA"/>
        </w:rPr>
      </w:pPr>
      <w:r w:rsidRPr="0088395E">
        <w:rPr>
          <w:lang w:bidi="ar-SA"/>
        </w:rPr>
        <w:t xml:space="preserve">Na základě analýzy aktuálních trendů lze ve vztahu k relevanci národních </w:t>
      </w:r>
      <w:r w:rsidRPr="00047570">
        <w:rPr>
          <w:lang w:bidi="ar-SA"/>
        </w:rPr>
        <w:t>domén výzkumné specializace Národní RIS3 strategie konstatovat, že v daném okamžiku nedošlo k zásadním změnám ve vnímání KETs, které by vyžadovalo v tomto programovacím období přehodnocení znalostních domén v Národní RIS3 strategii.</w:t>
      </w:r>
      <w:r w:rsidRPr="0093522F">
        <w:rPr>
          <w:lang w:bidi="ar-SA"/>
        </w:rPr>
        <w:t xml:space="preserve"> Při přípravě nové Národní RIS3 strategie 2021+ je ovšem nezbytné zohlednit vývoj v oblasti digitálních a kybernetických technologií. Současně by bylo vhodné detailně analyzovat výzkumný a inovační potenciál v současných národních doménách výzkumné specializace s cílem případné koncentrace úsilí do těch oblastí, ve kterých ČR disponuje konkurenční výhodou</w:t>
      </w:r>
      <w:r w:rsidRPr="0093522F">
        <w:rPr>
          <w:rStyle w:val="Znakapoznpodarou"/>
          <w:lang w:bidi="ar-SA"/>
        </w:rPr>
        <w:footnoteReference w:id="45"/>
      </w:r>
      <w:r w:rsidRPr="0093522F">
        <w:rPr>
          <w:lang w:bidi="ar-SA"/>
        </w:rPr>
        <w:t xml:space="preserve">. </w:t>
      </w:r>
    </w:p>
    <w:p w14:paraId="378DF14B" w14:textId="77777777" w:rsidR="00CB7D54" w:rsidRPr="0093522F" w:rsidRDefault="001A75DD" w:rsidP="00075F59">
      <w:pPr>
        <w:pBdr>
          <w:top w:val="single" w:sz="4" w:space="1" w:color="auto"/>
          <w:left w:val="single" w:sz="4" w:space="4" w:color="auto"/>
          <w:bottom w:val="single" w:sz="4" w:space="1" w:color="auto"/>
          <w:right w:val="single" w:sz="4" w:space="4" w:color="auto"/>
        </w:pBdr>
        <w:shd w:val="clear" w:color="auto" w:fill="D9D9D9" w:themeFill="background1" w:themeFillShade="D9"/>
        <w:rPr>
          <w:lang w:bidi="ar-SA"/>
        </w:rPr>
      </w:pPr>
      <w:r w:rsidRPr="0093522F">
        <w:rPr>
          <w:lang w:bidi="ar-SA"/>
        </w:rPr>
        <w:t xml:space="preserve">Národní RIS3 strategie by měla </w:t>
      </w:r>
      <w:r w:rsidR="00E54602" w:rsidRPr="0093522F">
        <w:rPr>
          <w:lang w:bidi="ar-SA"/>
        </w:rPr>
        <w:t xml:space="preserve">prostřednictvím procesu EDP </w:t>
      </w:r>
      <w:r w:rsidRPr="0093522F">
        <w:rPr>
          <w:lang w:bidi="ar-SA"/>
        </w:rPr>
        <w:t xml:space="preserve">napomoci ke stanovení </w:t>
      </w:r>
      <w:r w:rsidRPr="009B4D23">
        <w:rPr>
          <w:b/>
          <w:lang w:bidi="ar-SA"/>
        </w:rPr>
        <w:t>hlavních směrů</w:t>
      </w:r>
      <w:r w:rsidRPr="0093522F">
        <w:rPr>
          <w:lang w:bidi="ar-SA"/>
        </w:rPr>
        <w:t xml:space="preserve"> aplikovaného výzkumu ve střednědobém horizontu (</w:t>
      </w:r>
      <w:r w:rsidR="00935F02" w:rsidRPr="0093522F">
        <w:rPr>
          <w:lang w:bidi="ar-SA"/>
        </w:rPr>
        <w:t>výzkumná specializace</w:t>
      </w:r>
      <w:r w:rsidRPr="0093522F">
        <w:rPr>
          <w:lang w:bidi="ar-SA"/>
        </w:rPr>
        <w:t xml:space="preserve">) a </w:t>
      </w:r>
      <w:r w:rsidR="00E54602" w:rsidRPr="0093522F">
        <w:rPr>
          <w:lang w:bidi="ar-SA"/>
        </w:rPr>
        <w:t xml:space="preserve">dále </w:t>
      </w:r>
      <w:r w:rsidRPr="0093522F">
        <w:rPr>
          <w:lang w:bidi="ar-SA"/>
        </w:rPr>
        <w:t>identifikovat</w:t>
      </w:r>
      <w:r w:rsidR="00E54602" w:rsidRPr="0093522F">
        <w:rPr>
          <w:lang w:bidi="ar-SA"/>
        </w:rPr>
        <w:t xml:space="preserve"> </w:t>
      </w:r>
      <w:r w:rsidR="00E54602" w:rsidRPr="009B4D23">
        <w:rPr>
          <w:b/>
          <w:lang w:bidi="ar-SA"/>
        </w:rPr>
        <w:t>skutečné příležitosti</w:t>
      </w:r>
      <w:r w:rsidR="00935F02" w:rsidRPr="0093522F">
        <w:rPr>
          <w:lang w:bidi="ar-SA"/>
        </w:rPr>
        <w:t xml:space="preserve"> uplatnit zboží a služby na trhu (ekonomická specializace)</w:t>
      </w:r>
      <w:r w:rsidR="00E54602" w:rsidRPr="0093522F">
        <w:rPr>
          <w:lang w:bidi="ar-SA"/>
        </w:rPr>
        <w:t xml:space="preserve">, založené na inovacích a podložené vědeckovýzkumnými výsledky. </w:t>
      </w:r>
      <w:r w:rsidR="00935F02" w:rsidRPr="0093522F">
        <w:rPr>
          <w:lang w:bidi="ar-SA"/>
        </w:rPr>
        <w:t xml:space="preserve">Množství identifikovaných výzkumných témat </w:t>
      </w:r>
      <w:r w:rsidR="00A01664" w:rsidRPr="0093522F">
        <w:rPr>
          <w:lang w:bidi="ar-SA"/>
        </w:rPr>
        <w:t>jdoucí napříč téměř všemi</w:t>
      </w:r>
      <w:r w:rsidR="00935F02" w:rsidRPr="0093522F">
        <w:rPr>
          <w:lang w:bidi="ar-SA"/>
        </w:rPr>
        <w:t xml:space="preserve"> </w:t>
      </w:r>
      <w:r w:rsidR="00A01664" w:rsidRPr="0093522F">
        <w:rPr>
          <w:lang w:bidi="ar-SA"/>
        </w:rPr>
        <w:t xml:space="preserve">odvětvími národního hospodářství dává jasný signál, že </w:t>
      </w:r>
      <w:r w:rsidR="00A01664" w:rsidRPr="009B4D23">
        <w:rPr>
          <w:b/>
          <w:lang w:bidi="ar-SA"/>
        </w:rPr>
        <w:t xml:space="preserve">záměr „specializace“ nebyl v současné Národní RIS3 strategii </w:t>
      </w:r>
      <w:r w:rsidR="00F74FD8">
        <w:rPr>
          <w:b/>
          <w:lang w:bidi="ar-SA"/>
        </w:rPr>
        <w:t xml:space="preserve">zcela </w:t>
      </w:r>
      <w:r w:rsidR="00A01664" w:rsidRPr="009B4D23">
        <w:rPr>
          <w:b/>
          <w:lang w:bidi="ar-SA"/>
        </w:rPr>
        <w:t>naplněn</w:t>
      </w:r>
      <w:r w:rsidR="00A01664" w:rsidRPr="0093522F">
        <w:rPr>
          <w:lang w:bidi="ar-SA"/>
        </w:rPr>
        <w:t xml:space="preserve">. </w:t>
      </w:r>
      <w:r w:rsidR="00804115">
        <w:rPr>
          <w:lang w:bidi="ar-SA"/>
        </w:rPr>
        <w:t xml:space="preserve">Na druhou stranu je potřeba uvést, že byly výrazné snahy zacilování (např. OP PIK a OP VVV </w:t>
      </w:r>
      <w:r w:rsidR="00377901">
        <w:rPr>
          <w:lang w:bidi="ar-SA"/>
        </w:rPr>
        <w:t xml:space="preserve">mají vytvořen systém zacilování projektů), avšak ve výsledku tato snaha nebyla dostatečně účinná. </w:t>
      </w:r>
    </w:p>
    <w:p w14:paraId="7EE9B199" w14:textId="77777777" w:rsidR="003871E6" w:rsidRDefault="003871E6" w:rsidP="00075F59">
      <w:p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line="240" w:lineRule="auto"/>
        <w:rPr>
          <w:rFonts w:eastAsia="Geneva" w:cs="Calibri"/>
          <w:b/>
          <w:iCs/>
        </w:rPr>
      </w:pPr>
      <w:r w:rsidRPr="00A72C42">
        <w:rPr>
          <w:rFonts w:cs="Calibri"/>
          <w:lang w:bidi="ar-SA"/>
        </w:rPr>
        <w:t xml:space="preserve">Současná Národní RIS3 strategie je obecným a </w:t>
      </w:r>
      <w:r>
        <w:rPr>
          <w:rFonts w:cs="Calibri"/>
          <w:lang w:bidi="ar-SA"/>
        </w:rPr>
        <w:t>rozsáhlým</w:t>
      </w:r>
      <w:r w:rsidRPr="00A72C42">
        <w:rPr>
          <w:rFonts w:cs="Calibri"/>
          <w:lang w:bidi="ar-SA"/>
        </w:rPr>
        <w:t xml:space="preserve"> dokumentem </w:t>
      </w:r>
      <w:r>
        <w:rPr>
          <w:rFonts w:cs="Calibri"/>
          <w:lang w:bidi="ar-SA"/>
        </w:rPr>
        <w:t xml:space="preserve">s </w:t>
      </w:r>
      <w:r>
        <w:rPr>
          <w:rFonts w:cs="Calibri"/>
          <w:b/>
          <w:lang w:bidi="ar-SA"/>
        </w:rPr>
        <w:t>nižší mírou</w:t>
      </w:r>
      <w:r w:rsidRPr="00A72C42">
        <w:rPr>
          <w:rFonts w:cs="Calibri"/>
          <w:lang w:bidi="ar-SA"/>
        </w:rPr>
        <w:t xml:space="preserve">  zacílení – </w:t>
      </w:r>
      <w:r>
        <w:rPr>
          <w:rFonts w:cs="Calibri"/>
          <w:lang w:bidi="ar-SA"/>
        </w:rPr>
        <w:t xml:space="preserve">v nižší míře jsou také definovány </w:t>
      </w:r>
      <w:r w:rsidRPr="00A72C42">
        <w:rPr>
          <w:rFonts w:eastAsia="Geneva" w:cs="Calibri"/>
          <w:iCs/>
        </w:rPr>
        <w:t xml:space="preserve">konkrétní (měřitelné) a reálné cíle, kterých chce ČR v oblasti výzkumu a vývoje </w:t>
      </w:r>
      <w:r>
        <w:rPr>
          <w:rFonts w:eastAsia="Geneva" w:cs="Calibri"/>
          <w:iCs/>
        </w:rPr>
        <w:t xml:space="preserve">a inovací </w:t>
      </w:r>
      <w:r w:rsidRPr="00A72C42">
        <w:rPr>
          <w:rFonts w:eastAsia="Geneva" w:cs="Calibri"/>
          <w:iCs/>
        </w:rPr>
        <w:t xml:space="preserve">dosáhnout. </w:t>
      </w:r>
    </w:p>
    <w:p w14:paraId="664F40B4" w14:textId="77777777" w:rsidR="003871E6" w:rsidRPr="00A72C42" w:rsidRDefault="003871E6" w:rsidP="00075F59">
      <w:p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line="240" w:lineRule="auto"/>
        <w:rPr>
          <w:rFonts w:eastAsia="Geneva" w:cs="Calibri"/>
          <w:b/>
          <w:iCs/>
        </w:rPr>
      </w:pPr>
      <w:r w:rsidRPr="00A72C42">
        <w:rPr>
          <w:rFonts w:eastAsia="Geneva" w:cs="Calibri"/>
          <w:iCs/>
        </w:rPr>
        <w:t>Znalostní domény a aplikační odvětví jsou formulován</w:t>
      </w:r>
      <w:r w:rsidRPr="00DA77F8">
        <w:rPr>
          <w:rFonts w:eastAsia="Geneva" w:cs="Calibri"/>
          <w:iCs/>
        </w:rPr>
        <w:t>y</w:t>
      </w:r>
      <w:r w:rsidRPr="00A72C42">
        <w:rPr>
          <w:rFonts w:eastAsia="Geneva" w:cs="Calibri"/>
          <w:iCs/>
        </w:rPr>
        <w:t xml:space="preserve"> </w:t>
      </w:r>
      <w:r>
        <w:rPr>
          <w:rFonts w:eastAsia="Geneva" w:cs="Calibri"/>
          <w:iCs/>
        </w:rPr>
        <w:t>s nižší mírou</w:t>
      </w:r>
      <w:r w:rsidRPr="00A72C42">
        <w:rPr>
          <w:rFonts w:eastAsia="Geneva" w:cs="Calibri"/>
          <w:iCs/>
        </w:rPr>
        <w:t xml:space="preserve"> zacílení a koncentrac</w:t>
      </w:r>
      <w:r>
        <w:rPr>
          <w:rFonts w:eastAsia="Geneva" w:cs="Calibri"/>
          <w:iCs/>
        </w:rPr>
        <w:t>í</w:t>
      </w:r>
      <w:r w:rsidRPr="00A72C42">
        <w:rPr>
          <w:rFonts w:eastAsia="Geneva" w:cs="Calibri"/>
          <w:iCs/>
        </w:rPr>
        <w:t xml:space="preserve"> podpory na nosné priority aplikovaného výzkumu a vývoje </w:t>
      </w:r>
      <w:r w:rsidRPr="00DA77F8">
        <w:rPr>
          <w:rFonts w:eastAsia="Geneva" w:cs="Calibri"/>
          <w:iCs/>
        </w:rPr>
        <w:t>v ČR</w:t>
      </w:r>
      <w:r>
        <w:rPr>
          <w:rFonts w:eastAsia="Geneva" w:cs="Calibri"/>
          <w:b/>
          <w:iCs/>
        </w:rPr>
        <w:t>.</w:t>
      </w:r>
    </w:p>
    <w:p w14:paraId="622029E0" w14:textId="7824797C" w:rsidR="003871E6" w:rsidRDefault="003871E6" w:rsidP="00913CE2">
      <w:pPr>
        <w:pBdr>
          <w:top w:val="single" w:sz="4" w:space="1" w:color="auto"/>
          <w:left w:val="single" w:sz="4" w:space="4" w:color="auto"/>
          <w:bottom w:val="single" w:sz="4" w:space="1" w:color="auto"/>
          <w:right w:val="single" w:sz="4" w:space="4" w:color="auto"/>
        </w:pBdr>
        <w:shd w:val="clear" w:color="auto" w:fill="D9D9D9" w:themeFill="background1" w:themeFillShade="D9"/>
        <w:rPr>
          <w:rFonts w:cs="Calibri"/>
          <w:lang w:bidi="ar-SA"/>
        </w:rPr>
      </w:pPr>
      <w:r w:rsidRPr="00A72C42">
        <w:rPr>
          <w:rFonts w:cs="Calibri"/>
          <w:lang w:bidi="ar-SA"/>
        </w:rPr>
        <w:t xml:space="preserve">Množství identifikovaných výzkumných témat jdoucí napříč </w:t>
      </w:r>
      <w:r>
        <w:rPr>
          <w:rFonts w:cs="Calibri"/>
          <w:b/>
          <w:lang w:bidi="ar-SA"/>
        </w:rPr>
        <w:t xml:space="preserve">aplikačními odvětvími  naznačuje </w:t>
      </w:r>
      <w:r w:rsidRPr="00A72C42">
        <w:rPr>
          <w:rFonts w:cs="Calibri"/>
          <w:lang w:bidi="ar-SA"/>
        </w:rPr>
        <w:t xml:space="preserve">, že záměr „specializace“ </w:t>
      </w:r>
      <w:r w:rsidRPr="00D2500D">
        <w:rPr>
          <w:rFonts w:cs="Calibri"/>
          <w:lang w:bidi="ar-SA"/>
        </w:rPr>
        <w:t>byl v současné Národní RIS3 strategii naplněn pouze částečně.</w:t>
      </w:r>
    </w:p>
    <w:p w14:paraId="2A558083" w14:textId="77777777" w:rsidR="00913CE2" w:rsidRDefault="00913CE2" w:rsidP="00913CE2">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heme="majorHAnsi" w:eastAsia="Geneva" w:hAnsiTheme="majorHAnsi"/>
          <w:bCs/>
          <w:iCs/>
        </w:rPr>
      </w:pPr>
    </w:p>
    <w:p w14:paraId="3FE442CB" w14:textId="77777777" w:rsidR="00097019" w:rsidRPr="0093522F" w:rsidRDefault="00097019" w:rsidP="00202868">
      <w:pPr>
        <w:pBdr>
          <w:top w:val="single" w:sz="4" w:space="1" w:color="auto"/>
          <w:left w:val="single" w:sz="4" w:space="4" w:color="auto"/>
          <w:bottom w:val="single" w:sz="4" w:space="1" w:color="auto"/>
          <w:right w:val="single" w:sz="4" w:space="4" w:color="auto"/>
        </w:pBdr>
        <w:shd w:val="clear" w:color="auto" w:fill="D9D9D9" w:themeFill="background1" w:themeFillShade="D9"/>
        <w:rPr>
          <w:lang w:bidi="ar-SA"/>
        </w:rPr>
      </w:pPr>
      <w:r w:rsidRPr="0093522F">
        <w:rPr>
          <w:lang w:bidi="ar-SA"/>
        </w:rPr>
        <w:lastRenderedPageBreak/>
        <w:t>Nicméně je potřeba mít na zřeteli skutečnost, že ČR začala uplatňovat koncept RIS3 strategie, tak jak ho vnímá Evropská komise, teprve nedávno. Za 5 let se podařilo nastavit základní rámec fungování RIS3 strategie v ČR a  položit základy pro další rozvíjení EDP procesu.</w:t>
      </w:r>
    </w:p>
    <w:p w14:paraId="32E33193" w14:textId="77777777" w:rsidR="00097019" w:rsidRPr="0093522F" w:rsidRDefault="00097019" w:rsidP="00202868">
      <w:pPr>
        <w:pBdr>
          <w:top w:val="single" w:sz="4" w:space="1" w:color="auto"/>
          <w:left w:val="single" w:sz="4" w:space="4" w:color="auto"/>
          <w:bottom w:val="single" w:sz="4" w:space="1" w:color="auto"/>
          <w:right w:val="single" w:sz="4" w:space="4" w:color="auto"/>
        </w:pBdr>
        <w:shd w:val="clear" w:color="auto" w:fill="D9D9D9" w:themeFill="background1" w:themeFillShade="D9"/>
        <w:rPr>
          <w:lang w:bidi="ar-SA"/>
        </w:rPr>
      </w:pPr>
      <w:r w:rsidRPr="0093522F">
        <w:rPr>
          <w:lang w:bidi="ar-SA"/>
        </w:rPr>
        <w:t xml:space="preserve">Výzvou pro příští programovací období 2021+ bude na základě již postaveného systému vytvořit „další generaci“ Národní RIS3 strategie při respektování pozitivních zkušeností a poučení se z dosavadních chyb a potíží. </w:t>
      </w:r>
    </w:p>
    <w:p w14:paraId="50F1A759" w14:textId="77777777" w:rsidR="009B4D23" w:rsidRDefault="009B4D23">
      <w:pPr>
        <w:spacing w:before="0" w:after="0" w:line="240" w:lineRule="auto"/>
        <w:jc w:val="left"/>
        <w:rPr>
          <w:rFonts w:asciiTheme="majorHAnsi" w:eastAsiaTheme="majorEastAsia" w:hAnsiTheme="majorHAnsi" w:cstheme="majorBidi"/>
          <w:b/>
          <w:bCs/>
          <w:color w:val="004B8D"/>
          <w:spacing w:val="0"/>
          <w:sz w:val="32"/>
          <w:szCs w:val="32"/>
          <w:lang w:bidi="ar-SA"/>
        </w:rPr>
      </w:pPr>
      <w:r>
        <w:rPr>
          <w:rFonts w:asciiTheme="majorHAnsi" w:eastAsiaTheme="majorEastAsia" w:hAnsiTheme="majorHAnsi" w:cstheme="majorBidi"/>
          <w:color w:val="004B8D"/>
          <w:spacing w:val="0"/>
          <w:sz w:val="32"/>
          <w:szCs w:val="32"/>
          <w:lang w:bidi="ar-SA"/>
        </w:rPr>
        <w:br w:type="page"/>
      </w:r>
    </w:p>
    <w:p w14:paraId="61ADDE17" w14:textId="77777777" w:rsidR="0078648F" w:rsidRDefault="000E68E1" w:rsidP="00106D44">
      <w:pPr>
        <w:pStyle w:val="Nadpis1"/>
        <w:numPr>
          <w:ilvl w:val="0"/>
          <w:numId w:val="0"/>
        </w:numPr>
        <w:pBdr>
          <w:top w:val="none" w:sz="0" w:space="0" w:color="auto"/>
          <w:left w:val="none" w:sz="0" w:space="0" w:color="auto"/>
        </w:pBdr>
        <w:rPr>
          <w:rFonts w:asciiTheme="majorHAnsi" w:eastAsiaTheme="majorEastAsia" w:hAnsiTheme="majorHAnsi" w:cstheme="majorBidi"/>
          <w:color w:val="004B8D"/>
          <w:spacing w:val="0"/>
          <w:sz w:val="32"/>
          <w:szCs w:val="32"/>
          <w:lang w:bidi="ar-SA"/>
        </w:rPr>
      </w:pPr>
      <w:bookmarkStart w:id="48" w:name="_Toc5626455"/>
      <w:r>
        <w:rPr>
          <w:rFonts w:asciiTheme="majorHAnsi" w:eastAsiaTheme="majorEastAsia" w:hAnsiTheme="majorHAnsi" w:cstheme="majorBidi"/>
          <w:color w:val="004B8D"/>
          <w:spacing w:val="0"/>
          <w:sz w:val="32"/>
          <w:szCs w:val="32"/>
          <w:lang w:bidi="ar-SA"/>
        </w:rPr>
        <w:lastRenderedPageBreak/>
        <w:t>4</w:t>
      </w:r>
      <w:r w:rsidR="0078648F" w:rsidRPr="0078648F">
        <w:rPr>
          <w:rFonts w:asciiTheme="majorHAnsi" w:eastAsiaTheme="majorEastAsia" w:hAnsiTheme="majorHAnsi" w:cstheme="majorBidi"/>
          <w:color w:val="004B8D"/>
          <w:spacing w:val="0"/>
          <w:sz w:val="32"/>
          <w:szCs w:val="32"/>
          <w:lang w:bidi="ar-SA"/>
        </w:rPr>
        <w:t>. Evaluační okruh II. - Zhodnocení pokroku při naplňování RIS3 prostřednictvím ESIF programů a národních programů podpory</w:t>
      </w:r>
      <w:bookmarkEnd w:id="48"/>
    </w:p>
    <w:p w14:paraId="662E139C" w14:textId="77777777" w:rsidR="00A33BBC" w:rsidRPr="0077005D" w:rsidRDefault="00A33BBC" w:rsidP="00A33BBC">
      <w:pPr>
        <w:rPr>
          <w:rFonts w:eastAsia="Times New Roman" w:cs="Calibri"/>
          <w:color w:val="000000"/>
          <w:spacing w:val="-4"/>
          <w:szCs w:val="22"/>
          <w:lang w:eastAsia="cs-CZ" w:bidi="ar-SA"/>
        </w:rPr>
      </w:pPr>
      <w:r w:rsidRPr="0077005D">
        <w:rPr>
          <w:rFonts w:eastAsia="Times New Roman" w:cs="Calibri"/>
          <w:color w:val="000000"/>
          <w:spacing w:val="-4"/>
          <w:szCs w:val="22"/>
          <w:lang w:eastAsia="cs-CZ" w:bidi="ar-SA"/>
        </w:rPr>
        <w:t>Pro hodnocení pokroku při realizaci jakékoliv strategie je nezbytně nutné disponovat konkrétními údaji. Národní RIS3 strategie je realizována prostřednictvím operačních programů a národních programů podpory</w:t>
      </w:r>
      <w:r>
        <w:rPr>
          <w:rFonts w:eastAsia="Times New Roman" w:cs="Calibri"/>
          <w:color w:val="000000"/>
          <w:spacing w:val="-4"/>
          <w:szCs w:val="22"/>
          <w:lang w:eastAsia="cs-CZ" w:bidi="ar-SA"/>
        </w:rPr>
        <w:t xml:space="preserve"> a </w:t>
      </w:r>
      <w:r w:rsidRPr="0077005D">
        <w:rPr>
          <w:rFonts w:eastAsia="Times New Roman" w:cs="Calibri"/>
          <w:color w:val="000000"/>
          <w:spacing w:val="-4"/>
          <w:szCs w:val="22"/>
          <w:lang w:eastAsia="cs-CZ" w:bidi="ar-SA"/>
        </w:rPr>
        <w:t>za monitorování finančních i věcných ukazatelů</w:t>
      </w:r>
      <w:r w:rsidRPr="00590BD2">
        <w:rPr>
          <w:rFonts w:eastAsia="Times New Roman" w:cs="Calibri"/>
          <w:color w:val="000000"/>
          <w:spacing w:val="-4"/>
          <w:szCs w:val="22"/>
          <w:lang w:eastAsia="cs-CZ" w:bidi="ar-SA"/>
        </w:rPr>
        <w:t xml:space="preserve"> </w:t>
      </w:r>
      <w:r w:rsidRPr="0077005D">
        <w:rPr>
          <w:rFonts w:eastAsia="Times New Roman" w:cs="Calibri"/>
          <w:color w:val="000000"/>
          <w:spacing w:val="-4"/>
          <w:szCs w:val="22"/>
          <w:lang w:eastAsia="cs-CZ" w:bidi="ar-SA"/>
        </w:rPr>
        <w:t xml:space="preserve">jsou </w:t>
      </w:r>
      <w:r>
        <w:rPr>
          <w:rFonts w:eastAsia="Times New Roman" w:cs="Calibri"/>
          <w:color w:val="000000"/>
          <w:spacing w:val="-4"/>
          <w:szCs w:val="22"/>
          <w:lang w:eastAsia="cs-CZ" w:bidi="ar-SA"/>
        </w:rPr>
        <w:t xml:space="preserve">primárně </w:t>
      </w:r>
      <w:r w:rsidRPr="0077005D">
        <w:rPr>
          <w:rFonts w:eastAsia="Times New Roman" w:cs="Calibri"/>
          <w:color w:val="000000"/>
          <w:spacing w:val="-4"/>
          <w:szCs w:val="22"/>
          <w:lang w:eastAsia="cs-CZ" w:bidi="ar-SA"/>
        </w:rPr>
        <w:t>odpovědné</w:t>
      </w:r>
      <w:r w:rsidRPr="00590BD2">
        <w:rPr>
          <w:rFonts w:eastAsia="Times New Roman" w:cs="Calibri"/>
          <w:color w:val="000000"/>
          <w:spacing w:val="-4"/>
          <w:szCs w:val="22"/>
          <w:lang w:eastAsia="cs-CZ" w:bidi="ar-SA"/>
        </w:rPr>
        <w:t xml:space="preserve"> </w:t>
      </w:r>
      <w:r>
        <w:rPr>
          <w:rFonts w:eastAsia="Times New Roman" w:cs="Calibri"/>
          <w:color w:val="000000"/>
          <w:spacing w:val="-4"/>
          <w:szCs w:val="22"/>
          <w:lang w:eastAsia="cs-CZ" w:bidi="ar-SA"/>
        </w:rPr>
        <w:t>ř</w:t>
      </w:r>
      <w:r w:rsidRPr="0077005D">
        <w:rPr>
          <w:rFonts w:eastAsia="Times New Roman" w:cs="Calibri"/>
          <w:color w:val="000000"/>
          <w:spacing w:val="-4"/>
          <w:szCs w:val="22"/>
          <w:lang w:eastAsia="cs-CZ" w:bidi="ar-SA"/>
        </w:rPr>
        <w:t>ídící orgány</w:t>
      </w:r>
      <w:r w:rsidR="000543D2">
        <w:rPr>
          <w:rFonts w:eastAsia="Times New Roman" w:cs="Calibri"/>
          <w:color w:val="000000"/>
          <w:spacing w:val="-4"/>
          <w:szCs w:val="22"/>
          <w:lang w:eastAsia="cs-CZ" w:bidi="ar-SA"/>
        </w:rPr>
        <w:t xml:space="preserve">, resp. </w:t>
      </w:r>
      <w:r w:rsidR="003C51A0">
        <w:rPr>
          <w:rFonts w:eastAsia="Times New Roman" w:cs="Calibri"/>
          <w:color w:val="000000"/>
          <w:spacing w:val="-4"/>
          <w:szCs w:val="22"/>
          <w:lang w:eastAsia="cs-CZ" w:bidi="ar-SA"/>
        </w:rPr>
        <w:t xml:space="preserve">konkrétní </w:t>
      </w:r>
      <w:r w:rsidR="000543D2">
        <w:rPr>
          <w:rFonts w:eastAsia="Times New Roman" w:cs="Calibri"/>
          <w:color w:val="000000"/>
          <w:spacing w:val="-4"/>
          <w:szCs w:val="22"/>
          <w:lang w:eastAsia="cs-CZ" w:bidi="ar-SA"/>
        </w:rPr>
        <w:t>nositelé</w:t>
      </w:r>
      <w:r w:rsidR="003C51A0">
        <w:rPr>
          <w:rFonts w:eastAsia="Times New Roman" w:cs="Calibri"/>
          <w:color w:val="000000"/>
          <w:spacing w:val="-4"/>
          <w:szCs w:val="22"/>
          <w:lang w:eastAsia="cs-CZ" w:bidi="ar-SA"/>
        </w:rPr>
        <w:t xml:space="preserve"> těchto programů</w:t>
      </w:r>
      <w:r w:rsidRPr="0077005D">
        <w:rPr>
          <w:rFonts w:eastAsia="Times New Roman" w:cs="Calibri"/>
          <w:color w:val="000000"/>
          <w:spacing w:val="-4"/>
          <w:szCs w:val="22"/>
          <w:lang w:eastAsia="cs-CZ" w:bidi="ar-SA"/>
        </w:rPr>
        <w:t>.</w:t>
      </w:r>
      <w:r>
        <w:rPr>
          <w:rFonts w:eastAsia="Times New Roman" w:cs="Calibri"/>
          <w:color w:val="000000"/>
          <w:spacing w:val="-4"/>
          <w:szCs w:val="22"/>
          <w:lang w:eastAsia="cs-CZ" w:bidi="ar-SA"/>
        </w:rPr>
        <w:t xml:space="preserve"> </w:t>
      </w:r>
      <w:r w:rsidR="00FC6D7B">
        <w:rPr>
          <w:rFonts w:eastAsia="Times New Roman" w:cs="Calibri"/>
          <w:color w:val="000000"/>
          <w:spacing w:val="-4"/>
          <w:szCs w:val="22"/>
          <w:lang w:eastAsia="cs-CZ" w:bidi="ar-SA"/>
        </w:rPr>
        <w:t>To má za následek, že v</w:t>
      </w:r>
      <w:r>
        <w:rPr>
          <w:rFonts w:eastAsia="Times New Roman" w:cs="Calibri"/>
          <w:color w:val="000000"/>
          <w:spacing w:val="-4"/>
          <w:szCs w:val="22"/>
          <w:lang w:eastAsia="cs-CZ" w:bidi="ar-SA"/>
        </w:rPr>
        <w:t>e vztahu k Národní RIS3 strategii není zajištěn jednotný přístup k</w:t>
      </w:r>
      <w:r w:rsidR="00FC6D7B">
        <w:rPr>
          <w:rFonts w:eastAsia="Times New Roman" w:cs="Calibri"/>
          <w:color w:val="000000"/>
          <w:spacing w:val="-4"/>
          <w:szCs w:val="22"/>
          <w:lang w:eastAsia="cs-CZ" w:bidi="ar-SA"/>
        </w:rPr>
        <w:t> </w:t>
      </w:r>
      <w:r>
        <w:rPr>
          <w:rFonts w:eastAsia="Times New Roman" w:cs="Calibri"/>
          <w:color w:val="000000"/>
          <w:spacing w:val="-4"/>
          <w:szCs w:val="22"/>
          <w:lang w:eastAsia="cs-CZ" w:bidi="ar-SA"/>
        </w:rPr>
        <w:t>monitorování</w:t>
      </w:r>
      <w:r w:rsidR="00FC6D7B">
        <w:rPr>
          <w:rFonts w:eastAsia="Times New Roman" w:cs="Calibri"/>
          <w:color w:val="000000"/>
          <w:spacing w:val="-4"/>
          <w:szCs w:val="22"/>
          <w:lang w:eastAsia="cs-CZ" w:bidi="ar-SA"/>
        </w:rPr>
        <w:t>. S</w:t>
      </w:r>
      <w:r>
        <w:rPr>
          <w:rFonts w:eastAsia="Times New Roman" w:cs="Calibri"/>
          <w:color w:val="000000"/>
          <w:spacing w:val="-4"/>
          <w:szCs w:val="22"/>
          <w:lang w:eastAsia="cs-CZ" w:bidi="ar-SA"/>
        </w:rPr>
        <w:t xml:space="preserve">jednocení monitorovacích dat do jednoho zdroje </w:t>
      </w:r>
      <w:r w:rsidR="00FC6D7B">
        <w:rPr>
          <w:rFonts w:eastAsia="Times New Roman" w:cs="Calibri"/>
          <w:color w:val="000000"/>
          <w:spacing w:val="-4"/>
          <w:szCs w:val="22"/>
          <w:lang w:eastAsia="cs-CZ" w:bidi="ar-SA"/>
        </w:rPr>
        <w:t xml:space="preserve">probíhá </w:t>
      </w:r>
      <w:r w:rsidR="003C51A0">
        <w:rPr>
          <w:rFonts w:eastAsia="Times New Roman" w:cs="Calibri"/>
          <w:color w:val="000000"/>
          <w:spacing w:val="-4"/>
          <w:szCs w:val="22"/>
          <w:lang w:eastAsia="cs-CZ" w:bidi="ar-SA"/>
        </w:rPr>
        <w:t xml:space="preserve">v rámci Oddělení strategie S3 (MPO) a je předmětem dlouhodobé práce na vhodném metodickém přístupu, který by umožnil efektivní průběžné hodnocení a </w:t>
      </w:r>
      <w:r>
        <w:rPr>
          <w:rFonts w:eastAsia="Times New Roman" w:cs="Calibri"/>
          <w:color w:val="000000"/>
          <w:spacing w:val="-4"/>
          <w:szCs w:val="22"/>
          <w:lang w:eastAsia="cs-CZ" w:bidi="ar-SA"/>
        </w:rPr>
        <w:t xml:space="preserve">evaluaci Národní </w:t>
      </w:r>
      <w:r w:rsidR="00CD0B74">
        <w:rPr>
          <w:rFonts w:eastAsia="Times New Roman" w:cs="Calibri"/>
          <w:color w:val="000000"/>
          <w:spacing w:val="-4"/>
          <w:szCs w:val="22"/>
          <w:lang w:eastAsia="cs-CZ" w:bidi="ar-SA"/>
        </w:rPr>
        <w:t>R</w:t>
      </w:r>
      <w:r>
        <w:rPr>
          <w:rFonts w:eastAsia="Times New Roman" w:cs="Calibri"/>
          <w:color w:val="000000"/>
          <w:spacing w:val="-4"/>
          <w:szCs w:val="22"/>
          <w:lang w:eastAsia="cs-CZ" w:bidi="ar-SA"/>
        </w:rPr>
        <w:t xml:space="preserve">IS3 strategie. </w:t>
      </w:r>
    </w:p>
    <w:p w14:paraId="10B34029" w14:textId="77777777" w:rsidR="00A33BBC" w:rsidRDefault="00A33BBC" w:rsidP="00A33BBC">
      <w:pPr>
        <w:rPr>
          <w:rFonts w:eastAsia="Times New Roman" w:cs="Calibri"/>
          <w:color w:val="000000"/>
          <w:spacing w:val="-4"/>
          <w:szCs w:val="22"/>
          <w:lang w:eastAsia="cs-CZ" w:bidi="ar-SA"/>
        </w:rPr>
      </w:pPr>
      <w:r w:rsidRPr="0077005D">
        <w:rPr>
          <w:rFonts w:eastAsia="Times New Roman" w:cs="Calibri"/>
          <w:color w:val="000000"/>
          <w:spacing w:val="-4"/>
          <w:szCs w:val="22"/>
          <w:lang w:eastAsia="cs-CZ" w:bidi="ar-SA"/>
        </w:rPr>
        <w:t>S ohledem na to, že ve všech programech je podpora postavena na veřejných finančních prostředcích, je relativně dobrý přehled</w:t>
      </w:r>
      <w:r w:rsidR="00460983" w:rsidRPr="00460983">
        <w:rPr>
          <w:rFonts w:eastAsia="Times New Roman" w:cs="Calibri"/>
          <w:color w:val="000000"/>
          <w:spacing w:val="-4"/>
          <w:szCs w:val="22"/>
          <w:lang w:eastAsia="cs-CZ" w:bidi="ar-SA"/>
        </w:rPr>
        <w:t xml:space="preserve"> </w:t>
      </w:r>
      <w:r w:rsidR="00460983">
        <w:rPr>
          <w:rFonts w:eastAsia="Times New Roman" w:cs="Calibri"/>
          <w:color w:val="000000"/>
          <w:spacing w:val="-4"/>
          <w:szCs w:val="22"/>
          <w:lang w:eastAsia="cs-CZ" w:bidi="ar-SA"/>
        </w:rPr>
        <w:t xml:space="preserve">o </w:t>
      </w:r>
      <w:r w:rsidR="00460983" w:rsidRPr="0077005D">
        <w:rPr>
          <w:rFonts w:eastAsia="Times New Roman" w:cs="Calibri"/>
          <w:color w:val="000000"/>
          <w:spacing w:val="-4"/>
          <w:szCs w:val="22"/>
          <w:lang w:eastAsia="cs-CZ" w:bidi="ar-SA"/>
        </w:rPr>
        <w:t>finančních tocích</w:t>
      </w:r>
      <w:r w:rsidRPr="0077005D">
        <w:rPr>
          <w:rFonts w:eastAsia="Times New Roman" w:cs="Calibri"/>
          <w:color w:val="000000"/>
          <w:spacing w:val="-4"/>
          <w:szCs w:val="22"/>
          <w:lang w:eastAsia="cs-CZ" w:bidi="ar-SA"/>
        </w:rPr>
        <w:t xml:space="preserve">. </w:t>
      </w:r>
      <w:r>
        <w:rPr>
          <w:rFonts w:eastAsia="Times New Roman" w:cs="Calibri"/>
          <w:color w:val="000000"/>
          <w:spacing w:val="-4"/>
          <w:szCs w:val="22"/>
          <w:lang w:eastAsia="cs-CZ" w:bidi="ar-SA"/>
        </w:rPr>
        <w:t xml:space="preserve">A protože podmínkou podpory </w:t>
      </w:r>
      <w:r w:rsidR="003C51A0">
        <w:rPr>
          <w:rFonts w:eastAsia="Times New Roman" w:cs="Calibri"/>
          <w:color w:val="000000"/>
          <w:spacing w:val="-4"/>
          <w:szCs w:val="22"/>
          <w:lang w:eastAsia="cs-CZ" w:bidi="ar-SA"/>
        </w:rPr>
        <w:t xml:space="preserve">z těchto programů </w:t>
      </w:r>
      <w:r>
        <w:rPr>
          <w:rFonts w:eastAsia="Times New Roman" w:cs="Calibri"/>
          <w:color w:val="000000"/>
          <w:spacing w:val="-4"/>
          <w:szCs w:val="22"/>
          <w:lang w:eastAsia="cs-CZ" w:bidi="ar-SA"/>
        </w:rPr>
        <w:t xml:space="preserve">je </w:t>
      </w:r>
      <w:r w:rsidR="003C51A0">
        <w:rPr>
          <w:rFonts w:eastAsia="Times New Roman" w:cs="Calibri"/>
          <w:color w:val="000000"/>
          <w:spacing w:val="-4"/>
          <w:szCs w:val="22"/>
          <w:lang w:eastAsia="cs-CZ" w:bidi="ar-SA"/>
        </w:rPr>
        <w:t xml:space="preserve">jejich </w:t>
      </w:r>
      <w:r w:rsidR="009F6439">
        <w:rPr>
          <w:rFonts w:eastAsia="Times New Roman" w:cs="Calibri"/>
          <w:color w:val="000000"/>
          <w:spacing w:val="-4"/>
          <w:szCs w:val="22"/>
          <w:lang w:eastAsia="cs-CZ" w:bidi="ar-SA"/>
        </w:rPr>
        <w:t xml:space="preserve"> </w:t>
      </w:r>
      <w:r>
        <w:rPr>
          <w:rFonts w:eastAsia="Times New Roman" w:cs="Calibri"/>
          <w:color w:val="000000"/>
          <w:spacing w:val="-4"/>
          <w:szCs w:val="22"/>
          <w:lang w:eastAsia="cs-CZ" w:bidi="ar-SA"/>
        </w:rPr>
        <w:t xml:space="preserve">soulad s Národní RIS3 strategií, </w:t>
      </w:r>
      <w:r w:rsidR="00460983">
        <w:rPr>
          <w:rFonts w:eastAsia="Times New Roman" w:cs="Calibri"/>
          <w:color w:val="000000"/>
          <w:spacing w:val="-4"/>
          <w:szCs w:val="22"/>
          <w:lang w:eastAsia="cs-CZ" w:bidi="ar-SA"/>
        </w:rPr>
        <w:t>znamená to, že existují adekvátní informace</w:t>
      </w:r>
      <w:r>
        <w:rPr>
          <w:rFonts w:eastAsia="Times New Roman" w:cs="Calibri"/>
          <w:color w:val="000000"/>
          <w:spacing w:val="-4"/>
          <w:szCs w:val="22"/>
          <w:lang w:eastAsia="cs-CZ" w:bidi="ar-SA"/>
        </w:rPr>
        <w:t xml:space="preserve"> o zacílení finančních prostředků na definované klíčové oblasti změn.</w:t>
      </w:r>
    </w:p>
    <w:p w14:paraId="47B11B5E" w14:textId="1D79F2CF" w:rsidR="00A33BBC" w:rsidRDefault="00A33BBC" w:rsidP="00A33BBC">
      <w:r w:rsidRPr="0077005D">
        <w:rPr>
          <w:rFonts w:eastAsia="Times New Roman" w:cs="Calibri"/>
          <w:color w:val="000000"/>
          <w:spacing w:val="-4"/>
          <w:szCs w:val="22"/>
          <w:lang w:eastAsia="cs-CZ" w:bidi="ar-SA"/>
        </w:rPr>
        <w:t>Naproti tomu zcela nedostatečně jsou monitorovány věcné parametry podpory.</w:t>
      </w:r>
      <w:r>
        <w:t xml:space="preserve"> Strukturní rovina Národní RIS3 strategie (</w:t>
      </w:r>
      <w:r w:rsidRPr="00874D42">
        <w:rPr>
          <w:b/>
          <w:i/>
        </w:rPr>
        <w:t>horizontální cíle</w:t>
      </w:r>
      <w:r>
        <w:t>) definovaná hierarchickou soustavou „</w:t>
      </w:r>
      <w:r w:rsidRPr="00874D42">
        <w:rPr>
          <w:i/>
        </w:rPr>
        <w:t>vize – klíčové oblasti změn – strategické cíle – specifické cíle“</w:t>
      </w:r>
      <w:r>
        <w:t xml:space="preserve"> je sice pokryta indikátorovou soustavou, ale odhlédneme-li od kontextových indikátorů vize a klíčových změn, tak v jednotlivých operačních programech a národních programech podpory </w:t>
      </w:r>
      <w:r w:rsidR="00673AA2">
        <w:t>lz</w:t>
      </w:r>
      <w:r>
        <w:t xml:space="preserve">e reálně </w:t>
      </w:r>
      <w:r w:rsidR="00673AA2">
        <w:t xml:space="preserve">vyhodnotit </w:t>
      </w:r>
      <w:r>
        <w:t>jen mal</w:t>
      </w:r>
      <w:r w:rsidR="00673AA2">
        <w:t>ou</w:t>
      </w:r>
      <w:r>
        <w:t xml:space="preserve"> část indikátorů Národní RIS3 strategie. </w:t>
      </w:r>
      <w:r w:rsidR="00673AA2">
        <w:t xml:space="preserve">Ačkoliv OP obsahují velké množství indikátorů, tak pro potřeby hodnocení Národní RIS3 strategie lze využít jen omezenou část. </w:t>
      </w:r>
      <w:r>
        <w:t>Analýza věcného plnění horizontálních cílů strategie na bázi sledovaných indikátorů strategických a specifických cílů je tak velmi ochuzena o</w:t>
      </w:r>
      <w:r w:rsidR="00BC769E">
        <w:t> </w:t>
      </w:r>
      <w:r>
        <w:t>vstupní data.</w:t>
      </w:r>
    </w:p>
    <w:p w14:paraId="7073C102" w14:textId="7DC21894" w:rsidR="00A33BBC" w:rsidRDefault="00A33BBC" w:rsidP="00A33BBC">
      <w:r w:rsidRPr="00874D42">
        <w:rPr>
          <w:b/>
          <w:i/>
        </w:rPr>
        <w:t>Vertikální cíle</w:t>
      </w:r>
      <w:r>
        <w:t xml:space="preserve"> Národní RIS3 strategie jsou postaveny na poměrně komplikovaném formátu propojujícím výzkum a vývoj (</w:t>
      </w:r>
      <w:r w:rsidRPr="0077005D">
        <w:rPr>
          <w:i/>
        </w:rPr>
        <w:t>výzkumná specializace NRIS3</w:t>
      </w:r>
      <w:r>
        <w:t>) s produkční základnou výrobků a</w:t>
      </w:r>
      <w:r w:rsidR="00BC769E">
        <w:t> </w:t>
      </w:r>
      <w:r>
        <w:t>služeb (</w:t>
      </w:r>
      <w:r w:rsidRPr="005C5A75">
        <w:rPr>
          <w:i/>
        </w:rPr>
        <w:t>ekonomická specializace NRIS3</w:t>
      </w:r>
      <w:r>
        <w:t xml:space="preserve">). </w:t>
      </w:r>
      <w:r w:rsidR="00673AA2">
        <w:t>Doposud ž</w:t>
      </w:r>
      <w:r>
        <w:t xml:space="preserve">ádný z řídicích orgánů </w:t>
      </w:r>
      <w:r w:rsidR="00673AA2">
        <w:t>neměl za povinnost</w:t>
      </w:r>
      <w:r>
        <w:t xml:space="preserve"> systematicky </w:t>
      </w:r>
      <w:r w:rsidR="00673AA2">
        <w:t xml:space="preserve">sledovat </w:t>
      </w:r>
      <w:r>
        <w:t xml:space="preserve">u podporovaných projektů průsečík výzkumné a </w:t>
      </w:r>
      <w:r w:rsidR="00FB32B1">
        <w:t>ekonomické</w:t>
      </w:r>
      <w:r>
        <w:t xml:space="preserve"> specializace. Analýza věcného plnění vertikálních cílů strategie na bázi parametrů podpořených projektů </w:t>
      </w:r>
      <w:r w:rsidR="00673AA2">
        <w:t>je</w:t>
      </w:r>
      <w:r>
        <w:t xml:space="preserve"> možná </w:t>
      </w:r>
      <w:r w:rsidR="00673AA2">
        <w:t xml:space="preserve">pouze na základě omezených dat </w:t>
      </w:r>
      <w:r w:rsidR="00184362">
        <w:t xml:space="preserve">vzorku projektů a výsledné hodnocení je tudíž založeno ve velké míře na kvalifikovaném odhadu. </w:t>
      </w:r>
    </w:p>
    <w:p w14:paraId="23C05E18" w14:textId="77777777" w:rsidR="00A33BBC" w:rsidRDefault="00A33BBC" w:rsidP="00A33BBC"/>
    <w:p w14:paraId="25E675A5" w14:textId="77777777" w:rsidR="00A33BBC" w:rsidRDefault="00A33BBC" w:rsidP="00A33BBC"/>
    <w:p w14:paraId="153BF3E4" w14:textId="77777777" w:rsidR="00A33BBC" w:rsidRDefault="00A33BBC" w:rsidP="00A33BBC"/>
    <w:p w14:paraId="3808271A" w14:textId="77777777" w:rsidR="00A33BBC" w:rsidRDefault="00A33BBC" w:rsidP="00A33BBC"/>
    <w:p w14:paraId="2BD0EFE8" w14:textId="77777777" w:rsidR="00A33BBC" w:rsidRDefault="00A33BBC" w:rsidP="00A33BBC"/>
    <w:p w14:paraId="09905A7F" w14:textId="77777777" w:rsidR="00A33BBC" w:rsidRDefault="00A33BBC" w:rsidP="00A33BBC">
      <w:pPr>
        <w:pStyle w:val="Nadpis2"/>
        <w:keepNext/>
        <w:keepLines/>
        <w:numPr>
          <w:ilvl w:val="0"/>
          <w:numId w:val="0"/>
        </w:numPr>
        <w:pBdr>
          <w:top w:val="none" w:sz="0" w:space="0" w:color="auto"/>
          <w:left w:val="none" w:sz="0" w:space="0" w:color="auto"/>
        </w:pBdr>
        <w:shd w:val="clear" w:color="auto" w:fill="auto"/>
        <w:spacing w:before="200" w:after="0"/>
        <w:rPr>
          <w:rFonts w:asciiTheme="majorHAnsi" w:eastAsiaTheme="majorEastAsia" w:hAnsiTheme="majorHAnsi" w:cstheme="majorBidi"/>
          <w:bCs/>
          <w:color w:val="004B8D"/>
          <w:spacing w:val="0"/>
          <w:szCs w:val="26"/>
          <w:lang w:bidi="ar-SA"/>
        </w:rPr>
      </w:pPr>
      <w:bookmarkStart w:id="49" w:name="_Toc4444511"/>
      <w:bookmarkStart w:id="50" w:name="_Toc5626456"/>
      <w:r>
        <w:rPr>
          <w:rFonts w:asciiTheme="majorHAnsi" w:eastAsiaTheme="majorEastAsia" w:hAnsiTheme="majorHAnsi" w:cstheme="majorBidi"/>
          <w:bCs/>
          <w:color w:val="004B8D"/>
          <w:spacing w:val="0"/>
          <w:szCs w:val="26"/>
          <w:lang w:bidi="ar-SA"/>
        </w:rPr>
        <w:lastRenderedPageBreak/>
        <w:t>4.1</w:t>
      </w:r>
      <w:r w:rsidRPr="00A806AB">
        <w:rPr>
          <w:rFonts w:asciiTheme="majorHAnsi" w:eastAsiaTheme="majorEastAsia" w:hAnsiTheme="majorHAnsi" w:cstheme="majorBidi"/>
          <w:bCs/>
          <w:color w:val="004B8D"/>
          <w:spacing w:val="0"/>
          <w:szCs w:val="26"/>
          <w:lang w:bidi="ar-SA"/>
        </w:rPr>
        <w:t xml:space="preserve"> </w:t>
      </w:r>
      <w:r>
        <w:rPr>
          <w:rFonts w:asciiTheme="majorHAnsi" w:eastAsiaTheme="majorEastAsia" w:hAnsiTheme="majorHAnsi" w:cstheme="majorBidi"/>
          <w:bCs/>
          <w:color w:val="004B8D"/>
          <w:spacing w:val="0"/>
          <w:szCs w:val="26"/>
          <w:lang w:bidi="ar-SA"/>
        </w:rPr>
        <w:t>Finanční pokrok při naplňování Národní RIS3 strategie</w:t>
      </w:r>
      <w:bookmarkEnd w:id="49"/>
      <w:bookmarkEnd w:id="50"/>
    </w:p>
    <w:p w14:paraId="01EC6AFE" w14:textId="77777777" w:rsidR="00A33BBC" w:rsidRDefault="00A33BBC" w:rsidP="00A33BBC">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p>
    <w:p w14:paraId="65D1563B" w14:textId="77777777" w:rsidR="00A33BBC" w:rsidRDefault="00605061" w:rsidP="00A33BBC">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bookmarkStart w:id="51" w:name="_Toc5626457"/>
      <w:r>
        <w:rPr>
          <w:rFonts w:asciiTheme="majorHAnsi" w:eastAsiaTheme="majorEastAsia" w:hAnsiTheme="majorHAnsi" w:cstheme="majorHAnsi"/>
          <w:i/>
          <w:caps/>
          <w:color w:val="004B8D"/>
          <w:spacing w:val="0"/>
          <w:sz w:val="22"/>
          <w:lang w:bidi="ar-SA"/>
        </w:rPr>
        <w:t xml:space="preserve">4.1.1 </w:t>
      </w:r>
      <w:r w:rsidR="00A33BBC">
        <w:rPr>
          <w:rFonts w:asciiTheme="majorHAnsi" w:eastAsiaTheme="majorEastAsia" w:hAnsiTheme="majorHAnsi" w:cstheme="majorHAnsi"/>
          <w:i/>
          <w:caps/>
          <w:color w:val="004B8D"/>
          <w:spacing w:val="0"/>
          <w:sz w:val="22"/>
          <w:lang w:bidi="ar-SA"/>
        </w:rPr>
        <w:t>OPERAČNÍ PROGRAMY</w:t>
      </w:r>
      <w:bookmarkEnd w:id="51"/>
      <w:r w:rsidR="00A33BBC" w:rsidRPr="00023C75">
        <w:rPr>
          <w:rFonts w:asciiTheme="majorHAnsi" w:eastAsiaTheme="majorEastAsia" w:hAnsiTheme="majorHAnsi" w:cstheme="majorHAnsi"/>
          <w:i/>
          <w:caps/>
          <w:color w:val="004B8D"/>
          <w:spacing w:val="0"/>
          <w:sz w:val="22"/>
          <w:lang w:bidi="ar-SA"/>
        </w:rPr>
        <w:t xml:space="preserve"> </w:t>
      </w:r>
    </w:p>
    <w:p w14:paraId="2AE60BF9" w14:textId="77777777" w:rsidR="00A33BBC" w:rsidRPr="00FC358C" w:rsidRDefault="00A33BBC" w:rsidP="00A33BBC">
      <w:pPr>
        <w:rPr>
          <w:lang w:bidi="ar-SA"/>
        </w:rPr>
      </w:pPr>
      <w:r>
        <w:rPr>
          <w:lang w:bidi="ar-SA"/>
        </w:rPr>
        <w:t>Nejvýznamnějším zdrojem financováni Národní RIS3 strategie jsou operační programy, financované z</w:t>
      </w:r>
      <w:r w:rsidR="00460983">
        <w:rPr>
          <w:lang w:bidi="ar-SA"/>
        </w:rPr>
        <w:t> </w:t>
      </w:r>
      <w:r>
        <w:rPr>
          <w:lang w:bidi="ar-SA"/>
        </w:rPr>
        <w:t>ESIF</w:t>
      </w:r>
      <w:r w:rsidR="00460983">
        <w:rPr>
          <w:lang w:bidi="ar-SA"/>
        </w:rPr>
        <w:t>, zejména ty s ex-ante kondicionalitou</w:t>
      </w:r>
      <w:r>
        <w:rPr>
          <w:lang w:bidi="ar-SA"/>
        </w:rPr>
        <w:t xml:space="preserve">. Celkový objem </w:t>
      </w:r>
      <w:r w:rsidR="00460983">
        <w:rPr>
          <w:lang w:bidi="ar-SA"/>
        </w:rPr>
        <w:t xml:space="preserve">finančního </w:t>
      </w:r>
      <w:r>
        <w:rPr>
          <w:lang w:bidi="ar-SA"/>
        </w:rPr>
        <w:t xml:space="preserve">plánu </w:t>
      </w:r>
      <w:r w:rsidR="00460983">
        <w:rPr>
          <w:lang w:bidi="ar-SA"/>
        </w:rPr>
        <w:t xml:space="preserve">Národní RIS3 strategie </w:t>
      </w:r>
      <w:r>
        <w:rPr>
          <w:lang w:bidi="ar-SA"/>
        </w:rPr>
        <w:t>čin</w:t>
      </w:r>
      <w:r w:rsidR="00460983">
        <w:rPr>
          <w:lang w:bidi="ar-SA"/>
        </w:rPr>
        <w:t>í</w:t>
      </w:r>
      <w:r>
        <w:rPr>
          <w:lang w:bidi="ar-SA"/>
        </w:rPr>
        <w:t xml:space="preserve"> 212,7 mld. Kč</w:t>
      </w:r>
      <w:r w:rsidR="008621C5">
        <w:rPr>
          <w:lang w:bidi="ar-SA"/>
        </w:rPr>
        <w:t>,</w:t>
      </w:r>
      <w:r>
        <w:rPr>
          <w:lang w:bidi="ar-SA"/>
        </w:rPr>
        <w:t xml:space="preserve"> největší podíl představuje OP Podnikání a inovace pro konkurenceschopnost.</w:t>
      </w:r>
    </w:p>
    <w:p w14:paraId="56662792" w14:textId="77777777" w:rsidR="00A33BBC" w:rsidRDefault="00A33BBC" w:rsidP="00A33BBC">
      <w:pPr>
        <w:spacing w:before="0" w:after="0" w:line="240" w:lineRule="auto"/>
        <w:rPr>
          <w:rFonts w:eastAsia="Times New Roman" w:cs="Calibri"/>
          <w:color w:val="000000"/>
          <w:spacing w:val="0"/>
          <w:szCs w:val="22"/>
          <w:lang w:eastAsia="cs-CZ" w:bidi="ar-SA"/>
        </w:rPr>
      </w:pPr>
    </w:p>
    <w:p w14:paraId="2808FD42" w14:textId="77777777" w:rsidR="00A33BBC" w:rsidRPr="00EE5A5B" w:rsidRDefault="00A33BBC" w:rsidP="00A33BBC">
      <w:pPr>
        <w:spacing w:before="0" w:after="0" w:line="240" w:lineRule="auto"/>
        <w:rPr>
          <w:rFonts w:eastAsia="Times New Roman" w:cs="Calibri"/>
          <w:i/>
          <w:color w:val="000000"/>
          <w:spacing w:val="0"/>
          <w:szCs w:val="22"/>
          <w:lang w:eastAsia="cs-CZ" w:bidi="ar-SA"/>
        </w:rPr>
      </w:pPr>
      <w:bookmarkStart w:id="52" w:name="_Toc5626519"/>
      <w:r w:rsidRPr="00EE5A5B">
        <w:rPr>
          <w:rFonts w:cs="Arial-ItalicMT"/>
          <w:b/>
          <w:iCs/>
          <w:szCs w:val="22"/>
        </w:rPr>
        <w:t xml:space="preserve">Tabulka č. </w:t>
      </w:r>
      <w:r w:rsidR="008A090D" w:rsidRPr="00EE5A5B">
        <w:rPr>
          <w:rFonts w:cs="Arial-ItalicMT"/>
          <w:b/>
          <w:iCs/>
          <w:szCs w:val="22"/>
        </w:rPr>
        <w:fldChar w:fldCharType="begin"/>
      </w:r>
      <w:r w:rsidRPr="00EE5A5B">
        <w:rPr>
          <w:rFonts w:cs="Arial-ItalicMT"/>
          <w:b/>
          <w:iCs/>
          <w:szCs w:val="22"/>
        </w:rPr>
        <w:instrText xml:space="preserve"> SEQ Tabulka_č._ \* ARABIC </w:instrText>
      </w:r>
      <w:r w:rsidR="008A090D" w:rsidRPr="00EE5A5B">
        <w:rPr>
          <w:rFonts w:cs="Arial-ItalicMT"/>
          <w:b/>
          <w:iCs/>
          <w:szCs w:val="22"/>
        </w:rPr>
        <w:fldChar w:fldCharType="separate"/>
      </w:r>
      <w:r w:rsidR="002309D5">
        <w:rPr>
          <w:rFonts w:cs="Arial-ItalicMT"/>
          <w:b/>
          <w:iCs/>
          <w:noProof/>
          <w:szCs w:val="22"/>
        </w:rPr>
        <w:t>10</w:t>
      </w:r>
      <w:r w:rsidR="008A090D" w:rsidRPr="00EE5A5B">
        <w:rPr>
          <w:rFonts w:cs="Arial-ItalicMT"/>
          <w:b/>
          <w:iCs/>
          <w:szCs w:val="22"/>
        </w:rPr>
        <w:fldChar w:fldCharType="end"/>
      </w:r>
      <w:r w:rsidRPr="00EE5A5B">
        <w:rPr>
          <w:rFonts w:cs="Arial-ItalicMT"/>
          <w:b/>
          <w:iCs/>
          <w:szCs w:val="22"/>
        </w:rPr>
        <w:t xml:space="preserve"> -</w:t>
      </w:r>
      <w:r w:rsidRPr="00D66402">
        <w:rPr>
          <w:rFonts w:cs="Arial-ItalicMT"/>
          <w:iCs/>
          <w:szCs w:val="22"/>
        </w:rPr>
        <w:t xml:space="preserve"> </w:t>
      </w:r>
      <w:r w:rsidRPr="00EE5A5B">
        <w:rPr>
          <w:rFonts w:eastAsia="Times New Roman" w:cs="Calibri"/>
          <w:i/>
          <w:color w:val="000000"/>
          <w:spacing w:val="0"/>
          <w:szCs w:val="22"/>
          <w:lang w:eastAsia="cs-CZ" w:bidi="ar-SA"/>
        </w:rPr>
        <w:t>Plánovan</w:t>
      </w:r>
      <w:r>
        <w:rPr>
          <w:rFonts w:eastAsia="Times New Roman" w:cs="Calibri"/>
          <w:i/>
          <w:color w:val="000000"/>
          <w:spacing w:val="0"/>
          <w:szCs w:val="22"/>
          <w:lang w:eastAsia="cs-CZ" w:bidi="ar-SA"/>
        </w:rPr>
        <w:t>á</w:t>
      </w:r>
      <w:r w:rsidRPr="00EE5A5B">
        <w:rPr>
          <w:rFonts w:eastAsia="Times New Roman" w:cs="Calibri"/>
          <w:i/>
          <w:color w:val="000000"/>
          <w:spacing w:val="0"/>
          <w:szCs w:val="22"/>
          <w:lang w:eastAsia="cs-CZ" w:bidi="ar-SA"/>
        </w:rPr>
        <w:t xml:space="preserve"> podpor</w:t>
      </w:r>
      <w:r>
        <w:rPr>
          <w:rFonts w:eastAsia="Times New Roman" w:cs="Calibri"/>
          <w:i/>
          <w:color w:val="000000"/>
          <w:spacing w:val="0"/>
          <w:szCs w:val="22"/>
          <w:lang w:eastAsia="cs-CZ" w:bidi="ar-SA"/>
        </w:rPr>
        <w:t>a</w:t>
      </w:r>
      <w:r w:rsidRPr="00EE5A5B">
        <w:rPr>
          <w:rFonts w:eastAsia="Times New Roman" w:cs="Calibri"/>
          <w:i/>
          <w:color w:val="000000"/>
          <w:spacing w:val="0"/>
          <w:szCs w:val="22"/>
          <w:lang w:eastAsia="cs-CZ" w:bidi="ar-SA"/>
        </w:rPr>
        <w:t xml:space="preserve"> Národní RIS3 strategie v</w:t>
      </w:r>
      <w:r>
        <w:rPr>
          <w:rFonts w:eastAsia="Times New Roman" w:cs="Calibri"/>
          <w:i/>
          <w:color w:val="000000"/>
          <w:spacing w:val="0"/>
          <w:szCs w:val="22"/>
          <w:lang w:eastAsia="cs-CZ" w:bidi="ar-SA"/>
        </w:rPr>
        <w:t> operačních programech</w:t>
      </w:r>
      <w:bookmarkEnd w:id="52"/>
    </w:p>
    <w:p w14:paraId="7BE8920F" w14:textId="77777777" w:rsidR="00A33BBC" w:rsidRDefault="00A33BBC" w:rsidP="00A33BBC">
      <w:pPr>
        <w:spacing w:before="0" w:after="0" w:line="240" w:lineRule="auto"/>
        <w:rPr>
          <w:rFonts w:eastAsia="Times New Roman" w:cs="Calibri"/>
          <w:color w:val="000000"/>
          <w:spacing w:val="0"/>
          <w:szCs w:val="22"/>
          <w:lang w:eastAsia="cs-CZ" w:bidi="ar-SA"/>
        </w:rPr>
      </w:pPr>
    </w:p>
    <w:tbl>
      <w:tblPr>
        <w:tblW w:w="8515" w:type="dxa"/>
        <w:tblInd w:w="60" w:type="dxa"/>
        <w:tblCellMar>
          <w:left w:w="70" w:type="dxa"/>
          <w:right w:w="70" w:type="dxa"/>
        </w:tblCellMar>
        <w:tblLook w:val="04A0" w:firstRow="1" w:lastRow="0" w:firstColumn="1" w:lastColumn="0" w:noHBand="0" w:noVBand="1"/>
      </w:tblPr>
      <w:tblGrid>
        <w:gridCol w:w="3696"/>
        <w:gridCol w:w="2268"/>
        <w:gridCol w:w="2551"/>
      </w:tblGrid>
      <w:tr w:rsidR="00A33BBC" w:rsidRPr="00E50C80" w14:paraId="013FF702" w14:textId="77777777" w:rsidTr="00F10A9D">
        <w:trPr>
          <w:trHeight w:val="300"/>
        </w:trPr>
        <w:tc>
          <w:tcPr>
            <w:tcW w:w="3696" w:type="dxa"/>
            <w:tcBorders>
              <w:top w:val="single" w:sz="4" w:space="0" w:color="auto"/>
              <w:left w:val="single" w:sz="4" w:space="0" w:color="auto"/>
              <w:bottom w:val="single" w:sz="4" w:space="0" w:color="auto"/>
              <w:right w:val="single" w:sz="4" w:space="0" w:color="auto"/>
            </w:tcBorders>
            <w:shd w:val="clear" w:color="auto" w:fill="4F81BD"/>
            <w:vAlign w:val="bottom"/>
            <w:hideMark/>
          </w:tcPr>
          <w:p w14:paraId="2438356C" w14:textId="77777777" w:rsidR="00A33BBC" w:rsidRPr="00E50C80" w:rsidRDefault="00A33BBC" w:rsidP="00F10A9D">
            <w:pPr>
              <w:spacing w:before="120" w:after="120" w:line="240" w:lineRule="auto"/>
              <w:jc w:val="left"/>
              <w:rPr>
                <w:rFonts w:eastAsia="Times New Roman" w:cs="Calibri"/>
                <w:b/>
                <w:bCs/>
                <w:color w:val="FFFFFF" w:themeColor="background1"/>
                <w:spacing w:val="0"/>
                <w:sz w:val="20"/>
                <w:lang w:eastAsia="cs-CZ" w:bidi="ar-SA"/>
              </w:rPr>
            </w:pPr>
            <w:r w:rsidRPr="00E50C80">
              <w:rPr>
                <w:rFonts w:eastAsia="Times New Roman" w:cs="Calibri"/>
                <w:b/>
                <w:bCs/>
                <w:color w:val="FFFFFF" w:themeColor="background1"/>
                <w:spacing w:val="0"/>
                <w:sz w:val="20"/>
                <w:lang w:eastAsia="cs-CZ" w:bidi="ar-SA"/>
              </w:rPr>
              <w:t>Poskytovatel</w:t>
            </w:r>
          </w:p>
        </w:tc>
        <w:tc>
          <w:tcPr>
            <w:tcW w:w="2268" w:type="dxa"/>
            <w:tcBorders>
              <w:top w:val="single" w:sz="4" w:space="0" w:color="auto"/>
              <w:left w:val="single" w:sz="4" w:space="0" w:color="auto"/>
              <w:bottom w:val="single" w:sz="4" w:space="0" w:color="auto"/>
              <w:right w:val="single" w:sz="4" w:space="0" w:color="auto"/>
            </w:tcBorders>
            <w:shd w:val="clear" w:color="auto" w:fill="4F81BD"/>
            <w:vAlign w:val="bottom"/>
            <w:hideMark/>
          </w:tcPr>
          <w:p w14:paraId="1B664056" w14:textId="77777777" w:rsidR="00A33BBC" w:rsidRPr="00E50C80" w:rsidRDefault="00A33BBC" w:rsidP="00F10A9D">
            <w:pPr>
              <w:spacing w:before="120" w:after="120" w:line="240" w:lineRule="auto"/>
              <w:jc w:val="left"/>
              <w:rPr>
                <w:rFonts w:eastAsia="Times New Roman" w:cs="Calibri"/>
                <w:b/>
                <w:bCs/>
                <w:color w:val="FFFFFF" w:themeColor="background1"/>
                <w:spacing w:val="0"/>
                <w:sz w:val="20"/>
                <w:lang w:eastAsia="cs-CZ" w:bidi="ar-SA"/>
              </w:rPr>
            </w:pPr>
            <w:r w:rsidRPr="00E50C80">
              <w:rPr>
                <w:rFonts w:eastAsia="Times New Roman" w:cs="Calibri"/>
                <w:b/>
                <w:bCs/>
                <w:color w:val="FFFFFF" w:themeColor="background1"/>
                <w:spacing w:val="0"/>
                <w:sz w:val="20"/>
                <w:lang w:eastAsia="cs-CZ" w:bidi="ar-SA"/>
              </w:rPr>
              <w:t>Program</w:t>
            </w:r>
          </w:p>
        </w:tc>
        <w:tc>
          <w:tcPr>
            <w:tcW w:w="2551" w:type="dxa"/>
            <w:tcBorders>
              <w:top w:val="single" w:sz="4" w:space="0" w:color="auto"/>
              <w:left w:val="single" w:sz="4" w:space="0" w:color="auto"/>
              <w:bottom w:val="single" w:sz="4" w:space="0" w:color="auto"/>
              <w:right w:val="single" w:sz="4" w:space="0" w:color="auto"/>
            </w:tcBorders>
            <w:shd w:val="clear" w:color="auto" w:fill="4F81BD"/>
            <w:vAlign w:val="bottom"/>
            <w:hideMark/>
          </w:tcPr>
          <w:p w14:paraId="3CBEDD63" w14:textId="77777777" w:rsidR="00A33BBC" w:rsidRPr="00E50C80" w:rsidRDefault="00A33BBC" w:rsidP="00F10A9D">
            <w:pPr>
              <w:spacing w:before="120" w:after="120" w:line="240" w:lineRule="auto"/>
              <w:jc w:val="left"/>
              <w:rPr>
                <w:rFonts w:eastAsia="Times New Roman" w:cs="Calibri"/>
                <w:b/>
                <w:bCs/>
                <w:color w:val="FFFFFF" w:themeColor="background1"/>
                <w:spacing w:val="0"/>
                <w:sz w:val="20"/>
                <w:lang w:eastAsia="cs-CZ" w:bidi="ar-SA"/>
              </w:rPr>
            </w:pPr>
            <w:r w:rsidRPr="00E50C80">
              <w:rPr>
                <w:rFonts w:eastAsia="Times New Roman" w:cs="Calibri"/>
                <w:b/>
                <w:bCs/>
                <w:color w:val="FFFFFF" w:themeColor="background1"/>
                <w:spacing w:val="0"/>
                <w:sz w:val="20"/>
                <w:lang w:eastAsia="cs-CZ" w:bidi="ar-SA"/>
              </w:rPr>
              <w:t>Plán dle NRIS3 (v mld. Kč)</w:t>
            </w:r>
          </w:p>
        </w:tc>
      </w:tr>
      <w:tr w:rsidR="00A33BBC" w:rsidRPr="00365E59" w14:paraId="160E5C23" w14:textId="77777777" w:rsidTr="00F10A9D">
        <w:trPr>
          <w:trHeight w:val="315"/>
        </w:trPr>
        <w:tc>
          <w:tcPr>
            <w:tcW w:w="3696"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0DF3CB9D" w14:textId="77777777" w:rsidR="00A33BBC" w:rsidRPr="00365E59" w:rsidRDefault="00A33BBC" w:rsidP="00F10A9D">
            <w:pPr>
              <w:spacing w:before="0" w:after="0" w:line="240" w:lineRule="auto"/>
              <w:jc w:val="lef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MPO</w:t>
            </w:r>
          </w:p>
        </w:tc>
        <w:tc>
          <w:tcPr>
            <w:tcW w:w="2268" w:type="dxa"/>
            <w:tcBorders>
              <w:top w:val="single" w:sz="4" w:space="0" w:color="auto"/>
              <w:left w:val="nil"/>
              <w:bottom w:val="single" w:sz="8" w:space="0" w:color="auto"/>
              <w:right w:val="single" w:sz="8" w:space="0" w:color="auto"/>
            </w:tcBorders>
            <w:shd w:val="clear" w:color="auto" w:fill="auto"/>
            <w:vAlign w:val="center"/>
            <w:hideMark/>
          </w:tcPr>
          <w:p w14:paraId="5CD70F3D" w14:textId="77777777" w:rsidR="00A33BBC" w:rsidRPr="00365E59" w:rsidRDefault="00A33BBC" w:rsidP="00F10A9D">
            <w:pPr>
              <w:spacing w:before="0" w:after="0" w:line="240" w:lineRule="auto"/>
              <w:jc w:val="lef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OP PIK</w:t>
            </w:r>
          </w:p>
        </w:tc>
        <w:tc>
          <w:tcPr>
            <w:tcW w:w="2551" w:type="dxa"/>
            <w:tcBorders>
              <w:top w:val="single" w:sz="4" w:space="0" w:color="auto"/>
              <w:left w:val="nil"/>
              <w:bottom w:val="single" w:sz="8" w:space="0" w:color="auto"/>
              <w:right w:val="single" w:sz="8" w:space="0" w:color="auto"/>
            </w:tcBorders>
            <w:shd w:val="clear" w:color="auto" w:fill="auto"/>
            <w:hideMark/>
          </w:tcPr>
          <w:p w14:paraId="41708E42" w14:textId="77777777" w:rsidR="00A33BBC" w:rsidRPr="00365E59" w:rsidRDefault="00A33BBC" w:rsidP="00F10A9D">
            <w:pPr>
              <w:spacing w:before="0" w:after="0" w:line="240" w:lineRule="auto"/>
              <w:jc w:val="righ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137,9</w:t>
            </w:r>
            <w:r>
              <w:rPr>
                <w:rFonts w:eastAsia="Times New Roman" w:cs="Calibri"/>
                <w:color w:val="000000"/>
                <w:spacing w:val="0"/>
                <w:sz w:val="20"/>
                <w:lang w:eastAsia="cs-CZ" w:bidi="ar-SA"/>
              </w:rPr>
              <w:t>0</w:t>
            </w:r>
          </w:p>
        </w:tc>
      </w:tr>
      <w:tr w:rsidR="00A33BBC" w:rsidRPr="00365E59" w14:paraId="401D3549" w14:textId="77777777" w:rsidTr="00F10A9D">
        <w:trPr>
          <w:trHeight w:val="315"/>
        </w:trPr>
        <w:tc>
          <w:tcPr>
            <w:tcW w:w="3696" w:type="dxa"/>
            <w:tcBorders>
              <w:top w:val="nil"/>
              <w:left w:val="single" w:sz="8" w:space="0" w:color="auto"/>
              <w:bottom w:val="single" w:sz="8" w:space="0" w:color="auto"/>
              <w:right w:val="single" w:sz="8" w:space="0" w:color="auto"/>
            </w:tcBorders>
            <w:shd w:val="clear" w:color="auto" w:fill="auto"/>
            <w:vAlign w:val="center"/>
            <w:hideMark/>
          </w:tcPr>
          <w:p w14:paraId="3FF15C3E" w14:textId="77777777" w:rsidR="00A33BBC" w:rsidRPr="00365E59" w:rsidRDefault="00A33BBC" w:rsidP="00F10A9D">
            <w:pPr>
              <w:spacing w:before="0" w:after="0" w:line="240" w:lineRule="auto"/>
              <w:jc w:val="lef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MŠMT</w:t>
            </w:r>
          </w:p>
        </w:tc>
        <w:tc>
          <w:tcPr>
            <w:tcW w:w="2268" w:type="dxa"/>
            <w:tcBorders>
              <w:top w:val="nil"/>
              <w:left w:val="nil"/>
              <w:bottom w:val="single" w:sz="8" w:space="0" w:color="auto"/>
              <w:right w:val="single" w:sz="8" w:space="0" w:color="auto"/>
            </w:tcBorders>
            <w:shd w:val="clear" w:color="auto" w:fill="auto"/>
            <w:vAlign w:val="center"/>
            <w:hideMark/>
          </w:tcPr>
          <w:p w14:paraId="296C92D6" w14:textId="77777777" w:rsidR="00A33BBC" w:rsidRPr="00365E59" w:rsidRDefault="00A33BBC" w:rsidP="00F10A9D">
            <w:pPr>
              <w:spacing w:before="0" w:after="0" w:line="240" w:lineRule="auto"/>
              <w:jc w:val="lef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OP VVV</w:t>
            </w:r>
          </w:p>
        </w:tc>
        <w:tc>
          <w:tcPr>
            <w:tcW w:w="2551" w:type="dxa"/>
            <w:tcBorders>
              <w:top w:val="nil"/>
              <w:left w:val="nil"/>
              <w:bottom w:val="single" w:sz="8" w:space="0" w:color="auto"/>
              <w:right w:val="single" w:sz="8" w:space="0" w:color="auto"/>
            </w:tcBorders>
            <w:shd w:val="clear" w:color="auto" w:fill="auto"/>
            <w:hideMark/>
          </w:tcPr>
          <w:p w14:paraId="4549ED30" w14:textId="77777777" w:rsidR="00A33BBC" w:rsidRPr="00365E59" w:rsidRDefault="00A33BBC" w:rsidP="00F10A9D">
            <w:pPr>
              <w:spacing w:before="0" w:after="0" w:line="240" w:lineRule="auto"/>
              <w:jc w:val="righ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59,18</w:t>
            </w:r>
          </w:p>
        </w:tc>
      </w:tr>
      <w:tr w:rsidR="00A33BBC" w:rsidRPr="00365E59" w14:paraId="66B6767F" w14:textId="77777777" w:rsidTr="00F10A9D">
        <w:trPr>
          <w:trHeight w:val="315"/>
        </w:trPr>
        <w:tc>
          <w:tcPr>
            <w:tcW w:w="3696" w:type="dxa"/>
            <w:tcBorders>
              <w:top w:val="nil"/>
              <w:left w:val="single" w:sz="8" w:space="0" w:color="auto"/>
              <w:bottom w:val="single" w:sz="8" w:space="0" w:color="auto"/>
              <w:right w:val="single" w:sz="8" w:space="0" w:color="auto"/>
            </w:tcBorders>
            <w:shd w:val="clear" w:color="auto" w:fill="auto"/>
            <w:vAlign w:val="center"/>
            <w:hideMark/>
          </w:tcPr>
          <w:p w14:paraId="3B920C1C" w14:textId="77777777" w:rsidR="00A33BBC" w:rsidRPr="00365E59" w:rsidRDefault="00A33BBC" w:rsidP="00F10A9D">
            <w:pPr>
              <w:spacing w:before="0" w:after="0" w:line="240" w:lineRule="auto"/>
              <w:jc w:val="lef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Hl. m. Praha</w:t>
            </w:r>
          </w:p>
        </w:tc>
        <w:tc>
          <w:tcPr>
            <w:tcW w:w="2268" w:type="dxa"/>
            <w:tcBorders>
              <w:top w:val="nil"/>
              <w:left w:val="nil"/>
              <w:bottom w:val="single" w:sz="8" w:space="0" w:color="auto"/>
              <w:right w:val="single" w:sz="8" w:space="0" w:color="auto"/>
            </w:tcBorders>
            <w:shd w:val="clear" w:color="auto" w:fill="auto"/>
            <w:vAlign w:val="center"/>
            <w:hideMark/>
          </w:tcPr>
          <w:p w14:paraId="6CE758CC" w14:textId="77777777" w:rsidR="00A33BBC" w:rsidRPr="00365E59" w:rsidRDefault="00A33BBC" w:rsidP="00F10A9D">
            <w:pPr>
              <w:spacing w:before="0" w:after="0" w:line="240" w:lineRule="auto"/>
              <w:jc w:val="lef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OP PPR</w:t>
            </w:r>
          </w:p>
        </w:tc>
        <w:tc>
          <w:tcPr>
            <w:tcW w:w="2551" w:type="dxa"/>
            <w:tcBorders>
              <w:top w:val="nil"/>
              <w:left w:val="nil"/>
              <w:bottom w:val="single" w:sz="8" w:space="0" w:color="auto"/>
              <w:right w:val="single" w:sz="8" w:space="0" w:color="auto"/>
            </w:tcBorders>
            <w:shd w:val="clear" w:color="auto" w:fill="auto"/>
            <w:hideMark/>
          </w:tcPr>
          <w:p w14:paraId="02468705" w14:textId="77777777" w:rsidR="00A33BBC" w:rsidRPr="00365E59" w:rsidRDefault="00A33BBC" w:rsidP="00F10A9D">
            <w:pPr>
              <w:spacing w:before="0" w:after="0" w:line="240" w:lineRule="auto"/>
              <w:jc w:val="righ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3,37</w:t>
            </w:r>
          </w:p>
        </w:tc>
      </w:tr>
      <w:tr w:rsidR="00A33BBC" w:rsidRPr="00365E59" w14:paraId="6C1B207C" w14:textId="77777777" w:rsidTr="00F10A9D">
        <w:trPr>
          <w:trHeight w:val="315"/>
        </w:trPr>
        <w:tc>
          <w:tcPr>
            <w:tcW w:w="3696" w:type="dxa"/>
            <w:tcBorders>
              <w:top w:val="nil"/>
              <w:left w:val="single" w:sz="8" w:space="0" w:color="auto"/>
              <w:bottom w:val="single" w:sz="8" w:space="0" w:color="auto"/>
              <w:right w:val="single" w:sz="8" w:space="0" w:color="auto"/>
            </w:tcBorders>
            <w:shd w:val="clear" w:color="auto" w:fill="auto"/>
            <w:vAlign w:val="center"/>
            <w:hideMark/>
          </w:tcPr>
          <w:p w14:paraId="00ECE260" w14:textId="77777777" w:rsidR="00A33BBC" w:rsidRPr="00365E59" w:rsidRDefault="00A33BBC" w:rsidP="00F10A9D">
            <w:pPr>
              <w:spacing w:before="0" w:after="0" w:line="240" w:lineRule="auto"/>
              <w:jc w:val="lef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MMR</w:t>
            </w:r>
          </w:p>
        </w:tc>
        <w:tc>
          <w:tcPr>
            <w:tcW w:w="2268" w:type="dxa"/>
            <w:tcBorders>
              <w:top w:val="nil"/>
              <w:left w:val="nil"/>
              <w:bottom w:val="single" w:sz="8" w:space="0" w:color="auto"/>
              <w:right w:val="single" w:sz="8" w:space="0" w:color="auto"/>
            </w:tcBorders>
            <w:shd w:val="clear" w:color="auto" w:fill="auto"/>
            <w:vAlign w:val="center"/>
            <w:hideMark/>
          </w:tcPr>
          <w:p w14:paraId="1AB52723" w14:textId="77777777" w:rsidR="00A33BBC" w:rsidRPr="00365E59" w:rsidRDefault="00A33BBC" w:rsidP="00F10A9D">
            <w:pPr>
              <w:spacing w:before="0" w:after="0" w:line="240" w:lineRule="auto"/>
              <w:jc w:val="lef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IROP</w:t>
            </w:r>
          </w:p>
        </w:tc>
        <w:tc>
          <w:tcPr>
            <w:tcW w:w="2551" w:type="dxa"/>
            <w:tcBorders>
              <w:top w:val="nil"/>
              <w:left w:val="nil"/>
              <w:bottom w:val="single" w:sz="8" w:space="0" w:color="auto"/>
              <w:right w:val="single" w:sz="8" w:space="0" w:color="auto"/>
            </w:tcBorders>
            <w:shd w:val="clear" w:color="auto" w:fill="auto"/>
            <w:hideMark/>
          </w:tcPr>
          <w:p w14:paraId="32AB2E47" w14:textId="77777777" w:rsidR="00A33BBC" w:rsidRPr="00365E59" w:rsidRDefault="00A33BBC" w:rsidP="00F10A9D">
            <w:pPr>
              <w:spacing w:before="0" w:after="0" w:line="240" w:lineRule="auto"/>
              <w:jc w:val="righ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11,03</w:t>
            </w:r>
          </w:p>
        </w:tc>
      </w:tr>
      <w:tr w:rsidR="00A33BBC" w:rsidRPr="00365E59" w14:paraId="5172502A" w14:textId="77777777" w:rsidTr="00F10A9D">
        <w:trPr>
          <w:trHeight w:val="315"/>
        </w:trPr>
        <w:tc>
          <w:tcPr>
            <w:tcW w:w="3696" w:type="dxa"/>
            <w:tcBorders>
              <w:top w:val="nil"/>
              <w:left w:val="single" w:sz="8" w:space="0" w:color="auto"/>
              <w:bottom w:val="single" w:sz="8" w:space="0" w:color="auto"/>
              <w:right w:val="single" w:sz="8" w:space="0" w:color="auto"/>
            </w:tcBorders>
            <w:shd w:val="clear" w:color="auto" w:fill="auto"/>
            <w:vAlign w:val="center"/>
            <w:hideMark/>
          </w:tcPr>
          <w:p w14:paraId="67BA3090" w14:textId="77777777" w:rsidR="00A33BBC" w:rsidRPr="00365E59" w:rsidRDefault="00A33BBC" w:rsidP="00F10A9D">
            <w:pPr>
              <w:spacing w:before="0" w:after="0" w:line="240" w:lineRule="auto"/>
              <w:jc w:val="lef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MPSV</w:t>
            </w:r>
          </w:p>
        </w:tc>
        <w:tc>
          <w:tcPr>
            <w:tcW w:w="2268" w:type="dxa"/>
            <w:tcBorders>
              <w:top w:val="nil"/>
              <w:left w:val="nil"/>
              <w:bottom w:val="single" w:sz="8" w:space="0" w:color="auto"/>
              <w:right w:val="single" w:sz="8" w:space="0" w:color="auto"/>
            </w:tcBorders>
            <w:shd w:val="clear" w:color="auto" w:fill="auto"/>
            <w:vAlign w:val="center"/>
            <w:hideMark/>
          </w:tcPr>
          <w:p w14:paraId="6CE6021D" w14:textId="77777777" w:rsidR="00A33BBC" w:rsidRPr="00365E59" w:rsidRDefault="00A33BBC" w:rsidP="00F10A9D">
            <w:pPr>
              <w:spacing w:before="0" w:after="0" w:line="240" w:lineRule="auto"/>
              <w:jc w:val="lef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OP Z</w:t>
            </w:r>
          </w:p>
        </w:tc>
        <w:tc>
          <w:tcPr>
            <w:tcW w:w="2551" w:type="dxa"/>
            <w:tcBorders>
              <w:top w:val="nil"/>
              <w:left w:val="nil"/>
              <w:bottom w:val="single" w:sz="8" w:space="0" w:color="auto"/>
              <w:right w:val="single" w:sz="8" w:space="0" w:color="auto"/>
            </w:tcBorders>
            <w:shd w:val="clear" w:color="auto" w:fill="auto"/>
            <w:hideMark/>
          </w:tcPr>
          <w:p w14:paraId="4EEC11C3" w14:textId="77777777" w:rsidR="00A33BBC" w:rsidRPr="00365E59" w:rsidRDefault="00A33BBC" w:rsidP="00F10A9D">
            <w:pPr>
              <w:spacing w:before="0" w:after="0" w:line="240" w:lineRule="auto"/>
              <w:jc w:val="righ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1,22</w:t>
            </w:r>
          </w:p>
        </w:tc>
      </w:tr>
      <w:tr w:rsidR="00A33BBC" w:rsidRPr="00365E59" w14:paraId="653262EE" w14:textId="77777777" w:rsidTr="00F10A9D">
        <w:trPr>
          <w:trHeight w:val="315"/>
        </w:trPr>
        <w:tc>
          <w:tcPr>
            <w:tcW w:w="3696" w:type="dxa"/>
            <w:tcBorders>
              <w:top w:val="nil"/>
              <w:left w:val="single" w:sz="8" w:space="0" w:color="auto"/>
              <w:bottom w:val="single" w:sz="8" w:space="0" w:color="auto"/>
              <w:right w:val="single" w:sz="8" w:space="0" w:color="auto"/>
            </w:tcBorders>
            <w:shd w:val="clear" w:color="auto" w:fill="auto"/>
            <w:vAlign w:val="center"/>
            <w:hideMark/>
          </w:tcPr>
          <w:p w14:paraId="297A2B6F" w14:textId="77777777" w:rsidR="00A33BBC" w:rsidRPr="00365E59" w:rsidRDefault="00A33BBC" w:rsidP="00F10A9D">
            <w:pPr>
              <w:spacing w:before="0" w:after="0" w:line="240" w:lineRule="auto"/>
              <w:jc w:val="left"/>
              <w:rPr>
                <w:rFonts w:eastAsia="Times New Roman" w:cs="Calibri"/>
                <w:b/>
                <w:bCs/>
                <w:color w:val="000000"/>
                <w:spacing w:val="0"/>
                <w:sz w:val="20"/>
                <w:lang w:eastAsia="cs-CZ" w:bidi="ar-SA"/>
              </w:rPr>
            </w:pPr>
            <w:r w:rsidRPr="00365E59">
              <w:rPr>
                <w:rFonts w:eastAsia="Times New Roman" w:cs="Calibri"/>
                <w:b/>
                <w:bCs/>
                <w:color w:val="000000"/>
                <w:spacing w:val="0"/>
                <w:sz w:val="20"/>
                <w:lang w:eastAsia="cs-CZ" w:bidi="ar-SA"/>
              </w:rPr>
              <w:t>Celkem</w:t>
            </w:r>
          </w:p>
        </w:tc>
        <w:tc>
          <w:tcPr>
            <w:tcW w:w="2268" w:type="dxa"/>
            <w:tcBorders>
              <w:top w:val="nil"/>
              <w:left w:val="nil"/>
              <w:bottom w:val="single" w:sz="8" w:space="0" w:color="auto"/>
              <w:right w:val="single" w:sz="8" w:space="0" w:color="auto"/>
            </w:tcBorders>
            <w:shd w:val="clear" w:color="auto" w:fill="auto"/>
            <w:vAlign w:val="center"/>
            <w:hideMark/>
          </w:tcPr>
          <w:p w14:paraId="4EE10270" w14:textId="77777777" w:rsidR="00A33BBC" w:rsidRPr="00365E59" w:rsidRDefault="00A33BBC" w:rsidP="00F10A9D">
            <w:pPr>
              <w:spacing w:before="0" w:after="0" w:line="240" w:lineRule="auto"/>
              <w:jc w:val="left"/>
              <w:rPr>
                <w:rFonts w:eastAsia="Times New Roman" w:cs="Calibri"/>
                <w:b/>
                <w:bCs/>
                <w:color w:val="000000"/>
                <w:spacing w:val="0"/>
                <w:sz w:val="20"/>
                <w:lang w:eastAsia="cs-CZ" w:bidi="ar-SA"/>
              </w:rPr>
            </w:pPr>
            <w:r w:rsidRPr="00365E59">
              <w:rPr>
                <w:rFonts w:eastAsia="Times New Roman" w:cs="Calibri"/>
                <w:b/>
                <w:bCs/>
                <w:color w:val="000000"/>
                <w:spacing w:val="0"/>
                <w:sz w:val="20"/>
                <w:lang w:eastAsia="cs-CZ" w:bidi="ar-SA"/>
              </w:rPr>
              <w:t>RIS3</w:t>
            </w:r>
          </w:p>
        </w:tc>
        <w:tc>
          <w:tcPr>
            <w:tcW w:w="2551" w:type="dxa"/>
            <w:tcBorders>
              <w:top w:val="nil"/>
              <w:left w:val="nil"/>
              <w:bottom w:val="single" w:sz="8" w:space="0" w:color="auto"/>
              <w:right w:val="single" w:sz="8" w:space="0" w:color="auto"/>
            </w:tcBorders>
            <w:shd w:val="clear" w:color="auto" w:fill="auto"/>
            <w:hideMark/>
          </w:tcPr>
          <w:p w14:paraId="2927569C" w14:textId="77777777" w:rsidR="00A33BBC" w:rsidRPr="00365E59" w:rsidRDefault="00A33BBC" w:rsidP="00F10A9D">
            <w:pPr>
              <w:spacing w:before="0" w:after="0" w:line="240" w:lineRule="auto"/>
              <w:jc w:val="right"/>
              <w:rPr>
                <w:rFonts w:eastAsia="Times New Roman" w:cs="Calibri"/>
                <w:b/>
                <w:bCs/>
                <w:color w:val="000000"/>
                <w:spacing w:val="0"/>
                <w:sz w:val="20"/>
                <w:lang w:eastAsia="cs-CZ" w:bidi="ar-SA"/>
              </w:rPr>
            </w:pPr>
            <w:r w:rsidRPr="00365E59">
              <w:rPr>
                <w:rFonts w:eastAsia="Times New Roman" w:cs="Calibri"/>
                <w:b/>
                <w:bCs/>
                <w:color w:val="000000"/>
                <w:spacing w:val="0"/>
                <w:sz w:val="20"/>
                <w:lang w:eastAsia="cs-CZ" w:bidi="ar-SA"/>
              </w:rPr>
              <w:t>212,7</w:t>
            </w:r>
            <w:r>
              <w:rPr>
                <w:rFonts w:eastAsia="Times New Roman" w:cs="Calibri"/>
                <w:b/>
                <w:bCs/>
                <w:color w:val="000000"/>
                <w:spacing w:val="0"/>
                <w:sz w:val="20"/>
                <w:lang w:eastAsia="cs-CZ" w:bidi="ar-SA"/>
              </w:rPr>
              <w:t>0</w:t>
            </w:r>
          </w:p>
        </w:tc>
      </w:tr>
    </w:tbl>
    <w:p w14:paraId="590A3082" w14:textId="77777777" w:rsidR="00A33BBC" w:rsidRPr="001B560C" w:rsidRDefault="00A33BBC" w:rsidP="00A33BBC">
      <w:pPr>
        <w:spacing w:before="0" w:after="0" w:line="240" w:lineRule="auto"/>
        <w:jc w:val="left"/>
        <w:rPr>
          <w:sz w:val="18"/>
          <w:szCs w:val="18"/>
          <w:lang w:bidi="ar-SA"/>
        </w:rPr>
      </w:pPr>
      <w:r w:rsidRPr="001B560C">
        <w:rPr>
          <w:sz w:val="18"/>
          <w:szCs w:val="18"/>
          <w:lang w:bidi="ar-SA"/>
        </w:rPr>
        <w:t xml:space="preserve">Zdroj: </w:t>
      </w:r>
      <w:r>
        <w:rPr>
          <w:sz w:val="18"/>
          <w:szCs w:val="18"/>
          <w:lang w:bidi="ar-SA"/>
        </w:rPr>
        <w:t>monitoring MPO, vlastní zpracování</w:t>
      </w:r>
    </w:p>
    <w:p w14:paraId="76F3C237" w14:textId="77777777" w:rsidR="00A33BBC" w:rsidRDefault="00A33BBC" w:rsidP="00A33BBC">
      <w:pPr>
        <w:spacing w:before="0" w:after="0" w:line="240" w:lineRule="auto"/>
        <w:rPr>
          <w:rFonts w:eastAsia="Times New Roman" w:cs="Calibri"/>
          <w:color w:val="000000"/>
          <w:spacing w:val="0"/>
          <w:szCs w:val="22"/>
          <w:lang w:eastAsia="cs-CZ" w:bidi="ar-SA"/>
        </w:rPr>
      </w:pPr>
    </w:p>
    <w:p w14:paraId="006EB3C4" w14:textId="77777777" w:rsidR="00A33BBC" w:rsidRDefault="00A33BBC" w:rsidP="00A33BBC">
      <w:pPr>
        <w:spacing w:before="0" w:after="0" w:line="240" w:lineRule="auto"/>
        <w:rPr>
          <w:rFonts w:eastAsia="Times New Roman" w:cs="Calibri"/>
          <w:color w:val="000000"/>
          <w:spacing w:val="0"/>
          <w:szCs w:val="22"/>
          <w:lang w:eastAsia="cs-CZ" w:bidi="ar-SA"/>
        </w:rPr>
      </w:pPr>
      <w:bookmarkStart w:id="53" w:name="_Toc5626489"/>
      <w:r w:rsidRPr="00570F07">
        <w:rPr>
          <w:b/>
          <w:szCs w:val="22"/>
        </w:rPr>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6</w:t>
      </w:r>
      <w:r w:rsidR="008A090D" w:rsidRPr="00570F07">
        <w:rPr>
          <w:b/>
          <w:szCs w:val="22"/>
        </w:rPr>
        <w:fldChar w:fldCharType="end"/>
      </w:r>
      <w:r w:rsidRPr="00570F07">
        <w:rPr>
          <w:b/>
          <w:szCs w:val="22"/>
        </w:rPr>
        <w:t xml:space="preserve"> - </w:t>
      </w:r>
      <w:r w:rsidRPr="0069381D">
        <w:rPr>
          <w:rFonts w:eastAsia="Times New Roman" w:cs="Calibri"/>
          <w:color w:val="000000"/>
          <w:spacing w:val="0"/>
          <w:szCs w:val="22"/>
          <w:lang w:eastAsia="cs-CZ" w:bidi="ar-SA"/>
        </w:rPr>
        <w:t xml:space="preserve">Plánovaný podíl podpory Národní RIS3 strategie  </w:t>
      </w:r>
      <w:r w:rsidR="00B964EA">
        <w:rPr>
          <w:rFonts w:eastAsia="Times New Roman" w:cs="Calibri"/>
          <w:color w:val="000000"/>
          <w:spacing w:val="0"/>
          <w:szCs w:val="22"/>
          <w:lang w:eastAsia="cs-CZ" w:bidi="ar-SA"/>
        </w:rPr>
        <w:t>z</w:t>
      </w:r>
      <w:r w:rsidRPr="0069381D">
        <w:rPr>
          <w:rFonts w:eastAsia="Times New Roman" w:cs="Calibri"/>
          <w:color w:val="000000"/>
          <w:spacing w:val="0"/>
          <w:szCs w:val="22"/>
          <w:lang w:eastAsia="cs-CZ" w:bidi="ar-SA"/>
        </w:rPr>
        <w:t xml:space="preserve"> operačních program</w:t>
      </w:r>
      <w:r w:rsidR="00B964EA">
        <w:rPr>
          <w:rFonts w:eastAsia="Times New Roman" w:cs="Calibri"/>
          <w:color w:val="000000"/>
          <w:spacing w:val="0"/>
          <w:szCs w:val="22"/>
          <w:lang w:eastAsia="cs-CZ" w:bidi="ar-SA"/>
        </w:rPr>
        <w:t>ů</w:t>
      </w:r>
      <w:bookmarkEnd w:id="53"/>
    </w:p>
    <w:p w14:paraId="31F31C61" w14:textId="77777777" w:rsidR="00A33BBC" w:rsidRPr="00365E59" w:rsidRDefault="00A33BBC" w:rsidP="00A33BBC">
      <w:pPr>
        <w:spacing w:before="0" w:after="0" w:line="240" w:lineRule="auto"/>
        <w:rPr>
          <w:rFonts w:eastAsia="Times New Roman" w:cs="Calibri"/>
          <w:color w:val="000000"/>
          <w:spacing w:val="0"/>
          <w:szCs w:val="22"/>
          <w:lang w:eastAsia="cs-CZ" w:bidi="ar-SA"/>
        </w:rPr>
      </w:pPr>
    </w:p>
    <w:p w14:paraId="5694753A" w14:textId="77777777" w:rsidR="00A33BBC" w:rsidRDefault="00A33BBC" w:rsidP="00A33BBC">
      <w:pPr>
        <w:spacing w:before="0" w:after="0" w:line="240" w:lineRule="auto"/>
        <w:jc w:val="left"/>
        <w:rPr>
          <w:lang w:bidi="ar-SA"/>
        </w:rPr>
      </w:pPr>
      <w:r w:rsidRPr="00365E59">
        <w:rPr>
          <w:noProof/>
          <w:lang w:eastAsia="cs-CZ" w:bidi="ar-SA"/>
        </w:rPr>
        <w:drawing>
          <wp:inline distT="0" distB="0" distL="0" distR="0" wp14:anchorId="18479194" wp14:editId="0CA89450">
            <wp:extent cx="5399405" cy="1659291"/>
            <wp:effectExtent l="19050" t="0" r="0" b="0"/>
            <wp:docPr id="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srcRect/>
                    <a:stretch>
                      <a:fillRect/>
                    </a:stretch>
                  </pic:blipFill>
                  <pic:spPr bwMode="auto">
                    <a:xfrm>
                      <a:off x="0" y="0"/>
                      <a:ext cx="5399405" cy="1659291"/>
                    </a:xfrm>
                    <a:prstGeom prst="rect">
                      <a:avLst/>
                    </a:prstGeom>
                    <a:noFill/>
                    <a:ln w="9525">
                      <a:noFill/>
                      <a:miter lim="800000"/>
                      <a:headEnd/>
                      <a:tailEnd/>
                    </a:ln>
                  </pic:spPr>
                </pic:pic>
              </a:graphicData>
            </a:graphic>
          </wp:inline>
        </w:drawing>
      </w:r>
    </w:p>
    <w:p w14:paraId="18621C0F" w14:textId="77777777" w:rsidR="00A33BBC" w:rsidRPr="001B560C" w:rsidRDefault="00A33BBC" w:rsidP="00A33BBC">
      <w:pPr>
        <w:spacing w:before="0" w:after="0" w:line="240" w:lineRule="auto"/>
        <w:jc w:val="left"/>
        <w:rPr>
          <w:sz w:val="18"/>
          <w:szCs w:val="18"/>
          <w:lang w:bidi="ar-SA"/>
        </w:rPr>
      </w:pPr>
      <w:r w:rsidRPr="001B560C">
        <w:rPr>
          <w:sz w:val="18"/>
          <w:szCs w:val="18"/>
          <w:lang w:bidi="ar-SA"/>
        </w:rPr>
        <w:t xml:space="preserve">Zdroj: </w:t>
      </w:r>
      <w:r>
        <w:rPr>
          <w:sz w:val="18"/>
          <w:szCs w:val="18"/>
          <w:lang w:bidi="ar-SA"/>
        </w:rPr>
        <w:t>monitoring MPO, vlastní zpracování</w:t>
      </w:r>
    </w:p>
    <w:p w14:paraId="06DB2F7D" w14:textId="77777777" w:rsidR="00A33BBC" w:rsidRDefault="00A33BBC" w:rsidP="00A33BBC">
      <w:pPr>
        <w:spacing w:before="0" w:after="0" w:line="240" w:lineRule="auto"/>
        <w:jc w:val="left"/>
        <w:rPr>
          <w:rFonts w:eastAsia="Times New Roman" w:cs="Calibri"/>
          <w:color w:val="000000"/>
          <w:spacing w:val="0"/>
          <w:szCs w:val="22"/>
          <w:lang w:eastAsia="cs-CZ" w:bidi="ar-SA"/>
        </w:rPr>
      </w:pPr>
    </w:p>
    <w:p w14:paraId="21B97F31" w14:textId="77777777" w:rsidR="00A33BBC" w:rsidRDefault="008621C5" w:rsidP="00A33BBC">
      <w:pPr>
        <w:rPr>
          <w:rFonts w:eastAsia="Times New Roman" w:cs="Calibri"/>
          <w:color w:val="000000"/>
          <w:spacing w:val="-4"/>
          <w:szCs w:val="22"/>
          <w:lang w:eastAsia="cs-CZ" w:bidi="ar-SA"/>
        </w:rPr>
      </w:pPr>
      <w:r>
        <w:rPr>
          <w:rFonts w:eastAsia="Times New Roman" w:cs="Calibri"/>
          <w:color w:val="000000"/>
          <w:spacing w:val="-4"/>
          <w:szCs w:val="22"/>
          <w:lang w:eastAsia="cs-CZ" w:bidi="ar-SA"/>
        </w:rPr>
        <w:t>Aktuální čerpání finančních prostředků v rámci Národní RIS3 strategie k je patrné z grafu č. 7 níže. Součet č</w:t>
      </w:r>
      <w:r w:rsidR="00A33BBC" w:rsidRPr="0069381D">
        <w:rPr>
          <w:rFonts w:eastAsia="Times New Roman" w:cs="Calibri"/>
          <w:color w:val="000000"/>
          <w:spacing w:val="-4"/>
          <w:szCs w:val="22"/>
          <w:lang w:eastAsia="cs-CZ" w:bidi="ar-SA"/>
        </w:rPr>
        <w:t xml:space="preserve">erpání prostředků </w:t>
      </w:r>
      <w:r>
        <w:rPr>
          <w:rFonts w:eastAsia="Times New Roman" w:cs="Calibri"/>
          <w:color w:val="000000"/>
          <w:spacing w:val="-4"/>
          <w:szCs w:val="22"/>
          <w:lang w:eastAsia="cs-CZ" w:bidi="ar-SA"/>
        </w:rPr>
        <w:t>za</w:t>
      </w:r>
      <w:r w:rsidR="00A33BBC" w:rsidRPr="0069381D">
        <w:rPr>
          <w:rFonts w:eastAsia="Times New Roman" w:cs="Calibri"/>
          <w:color w:val="000000"/>
          <w:spacing w:val="-4"/>
          <w:szCs w:val="22"/>
          <w:lang w:eastAsia="cs-CZ" w:bidi="ar-SA"/>
        </w:rPr>
        <w:t> </w:t>
      </w:r>
      <w:r>
        <w:rPr>
          <w:rFonts w:eastAsia="Times New Roman" w:cs="Calibri"/>
          <w:color w:val="000000"/>
          <w:spacing w:val="-4"/>
          <w:szCs w:val="22"/>
          <w:lang w:eastAsia="cs-CZ" w:bidi="ar-SA"/>
        </w:rPr>
        <w:t xml:space="preserve">všechny </w:t>
      </w:r>
      <w:r w:rsidR="00A33BBC" w:rsidRPr="0069381D">
        <w:rPr>
          <w:rFonts w:eastAsia="Times New Roman" w:cs="Calibri"/>
          <w:color w:val="000000"/>
          <w:spacing w:val="-4"/>
          <w:szCs w:val="22"/>
          <w:lang w:eastAsia="cs-CZ" w:bidi="ar-SA"/>
        </w:rPr>
        <w:t>operační program</w:t>
      </w:r>
      <w:r>
        <w:rPr>
          <w:rFonts w:eastAsia="Times New Roman" w:cs="Calibri"/>
          <w:color w:val="000000"/>
          <w:spacing w:val="-4"/>
          <w:szCs w:val="22"/>
          <w:lang w:eastAsia="cs-CZ" w:bidi="ar-SA"/>
        </w:rPr>
        <w:t>y</w:t>
      </w:r>
      <w:r w:rsidR="00A33BBC" w:rsidRPr="0069381D">
        <w:rPr>
          <w:rFonts w:eastAsia="Times New Roman" w:cs="Calibri"/>
          <w:color w:val="000000"/>
          <w:spacing w:val="-4"/>
          <w:szCs w:val="22"/>
          <w:lang w:eastAsia="cs-CZ" w:bidi="ar-SA"/>
        </w:rPr>
        <w:t xml:space="preserve"> </w:t>
      </w:r>
      <w:r>
        <w:rPr>
          <w:rFonts w:eastAsia="Times New Roman" w:cs="Calibri"/>
          <w:color w:val="000000"/>
          <w:spacing w:val="-4"/>
          <w:szCs w:val="22"/>
          <w:lang w:eastAsia="cs-CZ" w:bidi="ar-SA"/>
        </w:rPr>
        <w:t>kumulativně k termínu 10/2018 dosahuje</w:t>
      </w:r>
      <w:r w:rsidR="00A33BBC" w:rsidRPr="0069381D">
        <w:rPr>
          <w:rFonts w:eastAsia="Times New Roman" w:cs="Calibri"/>
          <w:color w:val="000000"/>
          <w:spacing w:val="-4"/>
          <w:szCs w:val="22"/>
          <w:lang w:eastAsia="cs-CZ" w:bidi="ar-SA"/>
        </w:rPr>
        <w:t xml:space="preserve"> necel</w:t>
      </w:r>
      <w:r>
        <w:rPr>
          <w:rFonts w:eastAsia="Times New Roman" w:cs="Calibri"/>
          <w:color w:val="000000"/>
          <w:spacing w:val="-4"/>
          <w:szCs w:val="22"/>
          <w:lang w:eastAsia="cs-CZ" w:bidi="ar-SA"/>
        </w:rPr>
        <w:t>ou</w:t>
      </w:r>
      <w:r w:rsidR="00A33BBC">
        <w:rPr>
          <w:rFonts w:eastAsia="Times New Roman" w:cs="Calibri"/>
          <w:color w:val="000000"/>
          <w:spacing w:val="-4"/>
          <w:szCs w:val="22"/>
          <w:lang w:eastAsia="cs-CZ" w:bidi="ar-SA"/>
        </w:rPr>
        <w:t xml:space="preserve"> polovin</w:t>
      </w:r>
      <w:r>
        <w:rPr>
          <w:rFonts w:eastAsia="Times New Roman" w:cs="Calibri"/>
          <w:color w:val="000000"/>
          <w:spacing w:val="-4"/>
          <w:szCs w:val="22"/>
          <w:lang w:eastAsia="cs-CZ" w:bidi="ar-SA"/>
        </w:rPr>
        <w:t>u</w:t>
      </w:r>
      <w:r w:rsidR="00A33BBC" w:rsidRPr="0069381D">
        <w:rPr>
          <w:rFonts w:eastAsia="Times New Roman" w:cs="Calibri"/>
          <w:color w:val="000000"/>
          <w:spacing w:val="-4"/>
          <w:szCs w:val="22"/>
          <w:lang w:eastAsia="cs-CZ" w:bidi="ar-SA"/>
        </w:rPr>
        <w:t xml:space="preserve"> plánované</w:t>
      </w:r>
      <w:r>
        <w:rPr>
          <w:rFonts w:eastAsia="Times New Roman" w:cs="Calibri"/>
          <w:color w:val="000000"/>
          <w:spacing w:val="-4"/>
          <w:szCs w:val="22"/>
          <w:lang w:eastAsia="cs-CZ" w:bidi="ar-SA"/>
        </w:rPr>
        <w:t>ho finančního objemu (</w:t>
      </w:r>
      <w:r w:rsidRPr="0069381D">
        <w:rPr>
          <w:rFonts w:eastAsia="Times New Roman" w:cs="Calibri"/>
          <w:color w:val="000000"/>
          <w:spacing w:val="-4"/>
          <w:szCs w:val="22"/>
          <w:lang w:eastAsia="cs-CZ" w:bidi="ar-SA"/>
        </w:rPr>
        <w:t>48,6 %</w:t>
      </w:r>
      <w:r>
        <w:rPr>
          <w:rFonts w:eastAsia="Times New Roman" w:cs="Calibri"/>
          <w:color w:val="000000"/>
          <w:spacing w:val="-4"/>
          <w:szCs w:val="22"/>
          <w:lang w:eastAsia="cs-CZ" w:bidi="ar-SA"/>
        </w:rPr>
        <w:t>)</w:t>
      </w:r>
      <w:r w:rsidR="00A33BBC">
        <w:rPr>
          <w:rFonts w:eastAsia="Times New Roman" w:cs="Calibri"/>
          <w:color w:val="000000"/>
          <w:spacing w:val="-4"/>
          <w:szCs w:val="22"/>
          <w:lang w:eastAsia="cs-CZ" w:bidi="ar-SA"/>
        </w:rPr>
        <w:t xml:space="preserve">. </w:t>
      </w:r>
    </w:p>
    <w:p w14:paraId="645137CA" w14:textId="77777777" w:rsidR="00A33BBC" w:rsidRDefault="00A33BBC" w:rsidP="00A33BBC">
      <w:pPr>
        <w:rPr>
          <w:rFonts w:eastAsia="Times New Roman" w:cs="Calibri"/>
          <w:color w:val="000000"/>
          <w:spacing w:val="-4"/>
          <w:szCs w:val="22"/>
          <w:lang w:eastAsia="cs-CZ" w:bidi="ar-SA"/>
        </w:rPr>
      </w:pPr>
      <w:r>
        <w:rPr>
          <w:rFonts w:eastAsia="Times New Roman" w:cs="Calibri"/>
          <w:color w:val="000000"/>
          <w:spacing w:val="-4"/>
          <w:szCs w:val="22"/>
          <w:lang w:eastAsia="cs-CZ" w:bidi="ar-SA"/>
        </w:rPr>
        <w:t xml:space="preserve">Největší skluz v čerpání finančních prostředků </w:t>
      </w:r>
      <w:r w:rsidR="0088404E">
        <w:rPr>
          <w:rFonts w:eastAsia="Times New Roman" w:cs="Calibri"/>
          <w:color w:val="000000"/>
          <w:spacing w:val="-4"/>
          <w:szCs w:val="22"/>
          <w:lang w:eastAsia="cs-CZ" w:bidi="ar-SA"/>
        </w:rPr>
        <w:t>je patrný u</w:t>
      </w:r>
      <w:r>
        <w:rPr>
          <w:rFonts w:eastAsia="Times New Roman" w:cs="Calibri"/>
          <w:color w:val="000000"/>
          <w:spacing w:val="-4"/>
          <w:szCs w:val="22"/>
          <w:lang w:eastAsia="cs-CZ" w:bidi="ar-SA"/>
        </w:rPr>
        <w:t xml:space="preserve"> OP PIK a k 10/2018 bylo vyčerpáno pouze 41,7 % plánované částky. I když se dynamika čerpání meziročně zvyšuje, existuje reálné riziko, tento největší zdroj financování Národní RIS3 strategie nebude vyčerpán.</w:t>
      </w:r>
      <w:r w:rsidR="0088404E">
        <w:rPr>
          <w:rFonts w:eastAsia="Times New Roman" w:cs="Calibri"/>
          <w:color w:val="000000"/>
          <w:spacing w:val="-4"/>
          <w:szCs w:val="22"/>
          <w:lang w:eastAsia="cs-CZ" w:bidi="ar-SA"/>
        </w:rPr>
        <w:t xml:space="preserve"> Lze se domnívat, že pomalejší čerpání je do značné </w:t>
      </w:r>
      <w:r w:rsidR="0088404E">
        <w:rPr>
          <w:rFonts w:eastAsia="Times New Roman" w:cs="Calibri"/>
          <w:color w:val="000000"/>
          <w:spacing w:val="-4"/>
          <w:szCs w:val="22"/>
          <w:lang w:eastAsia="cs-CZ" w:bidi="ar-SA"/>
        </w:rPr>
        <w:lastRenderedPageBreak/>
        <w:t xml:space="preserve">míry </w:t>
      </w:r>
      <w:r w:rsidR="002E6987">
        <w:rPr>
          <w:rFonts w:eastAsia="Times New Roman" w:cs="Calibri"/>
          <w:color w:val="000000"/>
          <w:spacing w:val="-4"/>
          <w:szCs w:val="22"/>
          <w:lang w:eastAsia="cs-CZ" w:bidi="ar-SA"/>
        </w:rPr>
        <w:t xml:space="preserve">zapříčiněno mimo jiné i </w:t>
      </w:r>
      <w:r w:rsidR="0088404E">
        <w:rPr>
          <w:rFonts w:eastAsia="Times New Roman" w:cs="Calibri"/>
          <w:color w:val="000000"/>
          <w:spacing w:val="-4"/>
          <w:szCs w:val="22"/>
          <w:lang w:eastAsia="cs-CZ" w:bidi="ar-SA"/>
        </w:rPr>
        <w:t xml:space="preserve">pozastavením </w:t>
      </w:r>
      <w:r w:rsidR="00BB69E3">
        <w:rPr>
          <w:rFonts w:eastAsia="Times New Roman" w:cs="Calibri"/>
          <w:color w:val="000000"/>
          <w:spacing w:val="-4"/>
          <w:szCs w:val="22"/>
          <w:lang w:eastAsia="cs-CZ" w:bidi="ar-SA"/>
        </w:rPr>
        <w:t>certifikace finančních prostředků</w:t>
      </w:r>
      <w:r w:rsidR="0088404E">
        <w:rPr>
          <w:rFonts w:eastAsia="Times New Roman" w:cs="Calibri"/>
          <w:color w:val="000000"/>
          <w:spacing w:val="-4"/>
          <w:szCs w:val="22"/>
          <w:lang w:eastAsia="cs-CZ" w:bidi="ar-SA"/>
        </w:rPr>
        <w:t xml:space="preserve"> OP PIK ze strany EK</w:t>
      </w:r>
      <w:r w:rsidR="00BB69E3">
        <w:rPr>
          <w:rStyle w:val="Znakapoznpodarou"/>
          <w:rFonts w:eastAsia="Times New Roman" w:cs="Calibri"/>
          <w:color w:val="000000"/>
          <w:spacing w:val="-4"/>
          <w:szCs w:val="22"/>
          <w:lang w:eastAsia="cs-CZ" w:bidi="ar-SA"/>
        </w:rPr>
        <w:footnoteReference w:id="46"/>
      </w:r>
      <w:r w:rsidR="002E6987">
        <w:rPr>
          <w:rFonts w:eastAsia="Times New Roman" w:cs="Calibri"/>
          <w:color w:val="000000"/>
          <w:spacing w:val="-4"/>
          <w:szCs w:val="22"/>
          <w:lang w:eastAsia="cs-CZ" w:bidi="ar-SA"/>
        </w:rPr>
        <w:t xml:space="preserve">, </w:t>
      </w:r>
      <w:r w:rsidR="002E6987">
        <w:t>nízkou absorpční kapacitou v některých oblastech</w:t>
      </w:r>
      <w:r w:rsidR="00391CE7">
        <w:t xml:space="preserve"> a procesními problémy v administraci OP PIK, které se projevily v průběhu roku 2018</w:t>
      </w:r>
      <w:r w:rsidR="00BB69E3">
        <w:rPr>
          <w:rFonts w:eastAsia="Times New Roman" w:cs="Calibri"/>
          <w:color w:val="000000"/>
          <w:spacing w:val="-4"/>
          <w:szCs w:val="22"/>
          <w:lang w:eastAsia="cs-CZ" w:bidi="ar-SA"/>
        </w:rPr>
        <w:t xml:space="preserve">. </w:t>
      </w:r>
      <w:r w:rsidR="0088404E">
        <w:rPr>
          <w:rFonts w:eastAsia="Times New Roman" w:cs="Calibri"/>
          <w:color w:val="000000"/>
          <w:spacing w:val="-4"/>
          <w:szCs w:val="22"/>
          <w:lang w:eastAsia="cs-CZ" w:bidi="ar-SA"/>
        </w:rPr>
        <w:t xml:space="preserve"> </w:t>
      </w:r>
    </w:p>
    <w:p w14:paraId="1AD63B0B" w14:textId="77777777" w:rsidR="00A33BBC" w:rsidRPr="0069381D" w:rsidRDefault="00391CE7" w:rsidP="00A33BBC">
      <w:pPr>
        <w:rPr>
          <w:rFonts w:eastAsia="Times New Roman" w:cs="Calibri"/>
          <w:color w:val="000000"/>
          <w:spacing w:val="-4"/>
          <w:szCs w:val="22"/>
          <w:lang w:eastAsia="cs-CZ" w:bidi="ar-SA"/>
        </w:rPr>
      </w:pPr>
      <w:r>
        <w:rPr>
          <w:rFonts w:eastAsia="Times New Roman" w:cs="Calibri"/>
          <w:color w:val="000000"/>
          <w:spacing w:val="-4"/>
          <w:szCs w:val="22"/>
          <w:lang w:eastAsia="cs-CZ" w:bidi="ar-SA"/>
        </w:rPr>
        <w:t>Ačkoliv j</w:t>
      </w:r>
      <w:r w:rsidR="00A33BBC">
        <w:rPr>
          <w:rFonts w:eastAsia="Times New Roman" w:cs="Calibri"/>
          <w:color w:val="000000"/>
          <w:spacing w:val="-4"/>
          <w:szCs w:val="22"/>
          <w:lang w:eastAsia="cs-CZ" w:bidi="ar-SA"/>
        </w:rPr>
        <w:t>eště nižší mír</w:t>
      </w:r>
      <w:r>
        <w:rPr>
          <w:rFonts w:eastAsia="Times New Roman" w:cs="Calibri"/>
          <w:color w:val="000000"/>
          <w:spacing w:val="-4"/>
          <w:szCs w:val="22"/>
          <w:lang w:eastAsia="cs-CZ" w:bidi="ar-SA"/>
        </w:rPr>
        <w:t>u</w:t>
      </w:r>
      <w:r w:rsidR="00A33BBC">
        <w:rPr>
          <w:rFonts w:eastAsia="Times New Roman" w:cs="Calibri"/>
          <w:color w:val="000000"/>
          <w:spacing w:val="-4"/>
          <w:szCs w:val="22"/>
          <w:lang w:eastAsia="cs-CZ" w:bidi="ar-SA"/>
        </w:rPr>
        <w:t xml:space="preserve"> čerpání je </w:t>
      </w:r>
      <w:r>
        <w:rPr>
          <w:rFonts w:eastAsia="Times New Roman" w:cs="Calibri"/>
          <w:color w:val="000000"/>
          <w:spacing w:val="-4"/>
          <w:szCs w:val="22"/>
          <w:lang w:eastAsia="cs-CZ" w:bidi="ar-SA"/>
        </w:rPr>
        <w:t>možné pozorovat u</w:t>
      </w:r>
      <w:r w:rsidR="00A33BBC">
        <w:rPr>
          <w:rFonts w:eastAsia="Times New Roman" w:cs="Calibri"/>
          <w:color w:val="000000"/>
          <w:spacing w:val="-4"/>
          <w:szCs w:val="22"/>
          <w:lang w:eastAsia="cs-CZ" w:bidi="ar-SA"/>
        </w:rPr>
        <w:t xml:space="preserve"> OP </w:t>
      </w:r>
      <w:r>
        <w:rPr>
          <w:rFonts w:eastAsia="Times New Roman" w:cs="Calibri"/>
          <w:color w:val="000000"/>
          <w:spacing w:val="-4"/>
          <w:szCs w:val="22"/>
          <w:lang w:eastAsia="cs-CZ" w:bidi="ar-SA"/>
        </w:rPr>
        <w:t>Zaměstnanost</w:t>
      </w:r>
      <w:r w:rsidR="00A33BBC">
        <w:rPr>
          <w:rFonts w:eastAsia="Times New Roman" w:cs="Calibri"/>
          <w:color w:val="000000"/>
          <w:spacing w:val="-4"/>
          <w:szCs w:val="22"/>
          <w:lang w:eastAsia="cs-CZ" w:bidi="ar-SA"/>
        </w:rPr>
        <w:t xml:space="preserve"> (36,9 %), </w:t>
      </w:r>
      <w:r>
        <w:rPr>
          <w:rFonts w:eastAsia="Times New Roman" w:cs="Calibri"/>
          <w:color w:val="000000"/>
          <w:spacing w:val="-4"/>
          <w:szCs w:val="22"/>
          <w:lang w:eastAsia="cs-CZ" w:bidi="ar-SA"/>
        </w:rPr>
        <w:t>v</w:t>
      </w:r>
      <w:r w:rsidR="00A33BBC">
        <w:rPr>
          <w:rFonts w:eastAsia="Times New Roman" w:cs="Calibri"/>
          <w:color w:val="000000"/>
          <w:spacing w:val="-4"/>
          <w:szCs w:val="22"/>
          <w:lang w:eastAsia="cs-CZ" w:bidi="ar-SA"/>
        </w:rPr>
        <w:t xml:space="preserve"> porovnání s OP PIK je objem prostředků </w:t>
      </w:r>
      <w:r>
        <w:rPr>
          <w:rFonts w:eastAsia="Times New Roman" w:cs="Calibri"/>
          <w:color w:val="000000"/>
          <w:spacing w:val="-4"/>
          <w:szCs w:val="22"/>
          <w:lang w:eastAsia="cs-CZ" w:bidi="ar-SA"/>
        </w:rPr>
        <w:t xml:space="preserve">alokovaných </w:t>
      </w:r>
      <w:r w:rsidR="00A33BBC">
        <w:rPr>
          <w:rFonts w:eastAsia="Times New Roman" w:cs="Calibri"/>
          <w:color w:val="000000"/>
          <w:spacing w:val="-4"/>
          <w:szCs w:val="22"/>
          <w:lang w:eastAsia="cs-CZ" w:bidi="ar-SA"/>
        </w:rPr>
        <w:t>z OP Z</w:t>
      </w:r>
      <w:r>
        <w:rPr>
          <w:rFonts w:eastAsia="Times New Roman" w:cs="Calibri"/>
          <w:color w:val="000000"/>
          <w:spacing w:val="-4"/>
          <w:szCs w:val="22"/>
          <w:lang w:eastAsia="cs-CZ" w:bidi="ar-SA"/>
        </w:rPr>
        <w:t> </w:t>
      </w:r>
      <w:r w:rsidR="00A33BBC">
        <w:rPr>
          <w:rFonts w:eastAsia="Times New Roman" w:cs="Calibri"/>
          <w:color w:val="000000"/>
          <w:spacing w:val="-4"/>
          <w:szCs w:val="22"/>
          <w:lang w:eastAsia="cs-CZ" w:bidi="ar-SA"/>
        </w:rPr>
        <w:t>marginální</w:t>
      </w:r>
      <w:r>
        <w:rPr>
          <w:rFonts w:eastAsia="Times New Roman" w:cs="Calibri"/>
          <w:color w:val="000000"/>
          <w:spacing w:val="-4"/>
          <w:szCs w:val="22"/>
          <w:lang w:eastAsia="cs-CZ" w:bidi="ar-SA"/>
        </w:rPr>
        <w:t xml:space="preserve"> a tudíž pro celkové čerpání Národní RIS3 strategie nepředstavuje vážné riziko</w:t>
      </w:r>
      <w:r w:rsidR="00A33BBC">
        <w:rPr>
          <w:rFonts w:eastAsia="Times New Roman" w:cs="Calibri"/>
          <w:color w:val="000000"/>
          <w:spacing w:val="-4"/>
          <w:szCs w:val="22"/>
          <w:lang w:eastAsia="cs-CZ" w:bidi="ar-SA"/>
        </w:rPr>
        <w:t>.</w:t>
      </w:r>
    </w:p>
    <w:p w14:paraId="27A3D5BC" w14:textId="77777777" w:rsidR="00A33BBC" w:rsidRDefault="00A33BBC" w:rsidP="00A33BBC">
      <w:pPr>
        <w:spacing w:before="0" w:after="0" w:line="240" w:lineRule="auto"/>
        <w:jc w:val="left"/>
        <w:rPr>
          <w:rFonts w:eastAsia="Times New Roman" w:cs="Calibri"/>
          <w:b/>
          <w:color w:val="000000"/>
          <w:spacing w:val="-4"/>
          <w:szCs w:val="22"/>
          <w:lang w:eastAsia="cs-CZ" w:bidi="ar-SA"/>
        </w:rPr>
      </w:pPr>
      <w:bookmarkStart w:id="54" w:name="_Toc5626490"/>
      <w:r w:rsidRPr="00570F07">
        <w:rPr>
          <w:b/>
          <w:szCs w:val="22"/>
        </w:rPr>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7</w:t>
      </w:r>
      <w:r w:rsidR="008A090D" w:rsidRPr="00570F07">
        <w:rPr>
          <w:b/>
          <w:szCs w:val="22"/>
        </w:rPr>
        <w:fldChar w:fldCharType="end"/>
      </w:r>
      <w:r w:rsidRPr="00570F07">
        <w:rPr>
          <w:b/>
          <w:szCs w:val="22"/>
        </w:rPr>
        <w:t xml:space="preserve"> - </w:t>
      </w:r>
      <w:r w:rsidRPr="0069381D">
        <w:rPr>
          <w:rFonts w:eastAsia="Times New Roman" w:cs="Calibri"/>
          <w:color w:val="000000"/>
          <w:spacing w:val="-4"/>
          <w:szCs w:val="22"/>
          <w:lang w:eastAsia="cs-CZ" w:bidi="ar-SA"/>
        </w:rPr>
        <w:t>Plnění finančního plánu NRIS3 strategie v jednotlivých operačních programech k 10/2018</w:t>
      </w:r>
      <w:bookmarkEnd w:id="54"/>
    </w:p>
    <w:p w14:paraId="534B64BD" w14:textId="77777777" w:rsidR="00A33BBC" w:rsidRPr="00365E59" w:rsidRDefault="00A33BBC" w:rsidP="00A33BBC">
      <w:pPr>
        <w:spacing w:before="0" w:after="0" w:line="240" w:lineRule="auto"/>
        <w:jc w:val="left"/>
        <w:rPr>
          <w:rFonts w:eastAsia="Times New Roman" w:cs="Calibri"/>
          <w:color w:val="000000"/>
          <w:spacing w:val="-4"/>
          <w:szCs w:val="22"/>
          <w:lang w:eastAsia="cs-CZ" w:bidi="ar-SA"/>
        </w:rPr>
      </w:pPr>
    </w:p>
    <w:p w14:paraId="0E647F87" w14:textId="77777777" w:rsidR="00A33BBC" w:rsidRDefault="00A33BBC" w:rsidP="00A33BBC">
      <w:pPr>
        <w:spacing w:before="0" w:after="0" w:line="240" w:lineRule="auto"/>
        <w:jc w:val="left"/>
        <w:rPr>
          <w:lang w:bidi="ar-SA"/>
        </w:rPr>
      </w:pPr>
      <w:r w:rsidRPr="00365E59">
        <w:rPr>
          <w:noProof/>
          <w:lang w:eastAsia="cs-CZ" w:bidi="ar-SA"/>
        </w:rPr>
        <w:drawing>
          <wp:inline distT="0" distB="0" distL="0" distR="0" wp14:anchorId="3A4E87B8" wp14:editId="71B982B2">
            <wp:extent cx="5399405" cy="2731202"/>
            <wp:effectExtent l="19050" t="0" r="0" b="0"/>
            <wp:docPr id="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srcRect/>
                    <a:stretch>
                      <a:fillRect/>
                    </a:stretch>
                  </pic:blipFill>
                  <pic:spPr bwMode="auto">
                    <a:xfrm>
                      <a:off x="0" y="0"/>
                      <a:ext cx="5399405" cy="2731202"/>
                    </a:xfrm>
                    <a:prstGeom prst="rect">
                      <a:avLst/>
                    </a:prstGeom>
                    <a:noFill/>
                    <a:ln w="9525">
                      <a:noFill/>
                      <a:miter lim="800000"/>
                      <a:headEnd/>
                      <a:tailEnd/>
                    </a:ln>
                  </pic:spPr>
                </pic:pic>
              </a:graphicData>
            </a:graphic>
          </wp:inline>
        </w:drawing>
      </w:r>
    </w:p>
    <w:p w14:paraId="407D21DA" w14:textId="77777777" w:rsidR="00A33BBC" w:rsidRPr="001B560C" w:rsidRDefault="00A33BBC" w:rsidP="00A33BBC">
      <w:pPr>
        <w:spacing w:before="0" w:after="0" w:line="240" w:lineRule="auto"/>
        <w:jc w:val="left"/>
        <w:rPr>
          <w:sz w:val="18"/>
          <w:szCs w:val="18"/>
          <w:lang w:bidi="ar-SA"/>
        </w:rPr>
      </w:pPr>
      <w:r w:rsidRPr="001B560C">
        <w:rPr>
          <w:sz w:val="18"/>
          <w:szCs w:val="18"/>
          <w:lang w:bidi="ar-SA"/>
        </w:rPr>
        <w:t xml:space="preserve">Zdroj: </w:t>
      </w:r>
      <w:r>
        <w:rPr>
          <w:sz w:val="18"/>
          <w:szCs w:val="18"/>
          <w:lang w:bidi="ar-SA"/>
        </w:rPr>
        <w:t>monitoring MPO, vlastní zpracování</w:t>
      </w:r>
    </w:p>
    <w:p w14:paraId="1B8890CC" w14:textId="77777777" w:rsidR="008A4147" w:rsidRDefault="008A4147" w:rsidP="00A33BBC">
      <w:pPr>
        <w:rPr>
          <w:rFonts w:eastAsia="Times New Roman" w:cs="Calibri"/>
          <w:color w:val="000000"/>
          <w:spacing w:val="-4"/>
          <w:szCs w:val="22"/>
          <w:highlight w:val="yellow"/>
          <w:lang w:eastAsia="cs-CZ" w:bidi="ar-SA"/>
        </w:rPr>
      </w:pPr>
    </w:p>
    <w:p w14:paraId="6127AB76" w14:textId="77777777" w:rsidR="00A33BBC" w:rsidRPr="00A018DE" w:rsidRDefault="00640DFD" w:rsidP="00A33BBC">
      <w:pPr>
        <w:rPr>
          <w:rFonts w:eastAsia="Times New Roman" w:cs="Calibri"/>
          <w:color w:val="000000"/>
          <w:spacing w:val="-4"/>
          <w:szCs w:val="22"/>
          <w:lang w:eastAsia="cs-CZ" w:bidi="ar-SA"/>
        </w:rPr>
      </w:pPr>
      <w:r w:rsidRPr="006C6975">
        <w:rPr>
          <w:rFonts w:eastAsia="Times New Roman" w:cs="Calibri"/>
          <w:color w:val="000000"/>
          <w:spacing w:val="-4"/>
          <w:szCs w:val="22"/>
          <w:lang w:eastAsia="cs-CZ" w:bidi="ar-SA"/>
        </w:rPr>
        <w:t>Z analýzy zdrojů financování projektů vyplývá, že v</w:t>
      </w:r>
      <w:r w:rsidR="00A33BBC" w:rsidRPr="006C6975">
        <w:rPr>
          <w:rFonts w:eastAsia="Times New Roman" w:cs="Calibri"/>
          <w:color w:val="000000"/>
          <w:spacing w:val="-4"/>
          <w:szCs w:val="22"/>
          <w:lang w:eastAsia="cs-CZ" w:bidi="ar-SA"/>
        </w:rPr>
        <w:t>eřejná podpora</w:t>
      </w:r>
      <w:r w:rsidRPr="006C6975">
        <w:rPr>
          <w:rFonts w:eastAsia="Times New Roman" w:cs="Calibri"/>
          <w:color w:val="000000"/>
          <w:spacing w:val="-4"/>
          <w:szCs w:val="22"/>
          <w:lang w:eastAsia="cs-CZ" w:bidi="ar-SA"/>
        </w:rPr>
        <w:t xml:space="preserve"> (tj. </w:t>
      </w:r>
      <w:r w:rsidR="007718D8" w:rsidRPr="006C6975">
        <w:rPr>
          <w:rFonts w:eastAsia="Times New Roman" w:cs="Calibri"/>
          <w:color w:val="000000"/>
          <w:spacing w:val="-4"/>
          <w:szCs w:val="22"/>
          <w:lang w:eastAsia="cs-CZ" w:bidi="ar-SA"/>
        </w:rPr>
        <w:t>prostředky EU a veřejné zdroje ČR)</w:t>
      </w:r>
      <w:r w:rsidR="00A33BBC" w:rsidRPr="006C6975">
        <w:rPr>
          <w:rFonts w:eastAsia="Times New Roman" w:cs="Calibri"/>
          <w:color w:val="000000"/>
          <w:spacing w:val="-4"/>
          <w:szCs w:val="22"/>
          <w:lang w:eastAsia="cs-CZ" w:bidi="ar-SA"/>
        </w:rPr>
        <w:t xml:space="preserve"> </w:t>
      </w:r>
      <w:r w:rsidR="006C6975" w:rsidRPr="006C6975">
        <w:rPr>
          <w:rFonts w:eastAsia="Times New Roman" w:cs="Calibri"/>
          <w:color w:val="000000"/>
          <w:spacing w:val="-4"/>
          <w:szCs w:val="22"/>
          <w:lang w:eastAsia="cs-CZ" w:bidi="ar-SA"/>
        </w:rPr>
        <w:t>představuje</w:t>
      </w:r>
      <w:r w:rsidR="00A33BBC" w:rsidRPr="006C6975">
        <w:rPr>
          <w:rFonts w:eastAsia="Times New Roman" w:cs="Calibri"/>
          <w:color w:val="000000"/>
          <w:spacing w:val="-4"/>
          <w:szCs w:val="22"/>
          <w:lang w:eastAsia="cs-CZ" w:bidi="ar-SA"/>
        </w:rPr>
        <w:t xml:space="preserve"> u operačních programů 2/3 </w:t>
      </w:r>
      <w:r w:rsidR="006C6975" w:rsidRPr="006C6975">
        <w:rPr>
          <w:rFonts w:eastAsia="Times New Roman" w:cs="Calibri"/>
          <w:color w:val="000000"/>
          <w:spacing w:val="-4"/>
          <w:szCs w:val="22"/>
          <w:lang w:eastAsia="cs-CZ" w:bidi="ar-SA"/>
        </w:rPr>
        <w:t xml:space="preserve">zdrojů, </w:t>
      </w:r>
      <w:r w:rsidR="00A33BBC" w:rsidRPr="006C6975">
        <w:rPr>
          <w:rFonts w:eastAsia="Times New Roman" w:cs="Calibri"/>
          <w:color w:val="000000"/>
          <w:spacing w:val="-4"/>
          <w:szCs w:val="22"/>
          <w:lang w:eastAsia="cs-CZ" w:bidi="ar-SA"/>
        </w:rPr>
        <w:t>na neveřejné zdroje z ČR a ze zahraničí</w:t>
      </w:r>
      <w:r w:rsidR="007718D8" w:rsidRPr="006C6975">
        <w:rPr>
          <w:rFonts w:eastAsia="Times New Roman" w:cs="Calibri"/>
          <w:color w:val="000000"/>
          <w:spacing w:val="-4"/>
          <w:szCs w:val="22"/>
          <w:lang w:eastAsia="cs-CZ" w:bidi="ar-SA"/>
        </w:rPr>
        <w:t xml:space="preserve"> připadá 1/3</w:t>
      </w:r>
      <w:r w:rsidR="00A33BBC" w:rsidRPr="006C6975">
        <w:rPr>
          <w:rFonts w:eastAsia="Times New Roman" w:cs="Calibri"/>
          <w:color w:val="000000"/>
          <w:spacing w:val="-4"/>
          <w:szCs w:val="22"/>
          <w:lang w:eastAsia="cs-CZ" w:bidi="ar-SA"/>
        </w:rPr>
        <w:t xml:space="preserve">. </w:t>
      </w:r>
      <w:r w:rsidR="009E5469">
        <w:rPr>
          <w:rFonts w:eastAsia="Times New Roman" w:cs="Calibri"/>
          <w:color w:val="000000"/>
          <w:spacing w:val="-4"/>
          <w:szCs w:val="22"/>
          <w:lang w:eastAsia="cs-CZ" w:bidi="ar-SA"/>
        </w:rPr>
        <w:t>H</w:t>
      </w:r>
      <w:r w:rsidR="009E5469" w:rsidRPr="006C6975">
        <w:rPr>
          <w:rFonts w:eastAsia="Times New Roman" w:cs="Calibri"/>
          <w:color w:val="000000"/>
          <w:spacing w:val="-4"/>
          <w:szCs w:val="22"/>
          <w:lang w:eastAsia="cs-CZ" w:bidi="ar-SA"/>
        </w:rPr>
        <w:t xml:space="preserve">lavní podíl </w:t>
      </w:r>
      <w:r w:rsidR="00A33BBC" w:rsidRPr="006C6975">
        <w:rPr>
          <w:rFonts w:eastAsia="Times New Roman" w:cs="Calibri"/>
          <w:color w:val="000000"/>
          <w:spacing w:val="-4"/>
          <w:szCs w:val="22"/>
          <w:lang w:eastAsia="cs-CZ" w:bidi="ar-SA"/>
        </w:rPr>
        <w:t>veřejné podpory představují prostředky EU</w:t>
      </w:r>
      <w:r w:rsidR="006C6975">
        <w:rPr>
          <w:rFonts w:eastAsia="Times New Roman" w:cs="Calibri"/>
          <w:color w:val="000000"/>
          <w:spacing w:val="-4"/>
          <w:szCs w:val="22"/>
          <w:lang w:eastAsia="cs-CZ" w:bidi="ar-SA"/>
        </w:rPr>
        <w:t>, které k 10/2018 činily 61,5 mld. Kč</w:t>
      </w:r>
      <w:r w:rsidR="00A33BBC" w:rsidRPr="006C6975">
        <w:rPr>
          <w:rFonts w:eastAsia="Times New Roman" w:cs="Calibri"/>
          <w:color w:val="000000"/>
          <w:spacing w:val="-4"/>
          <w:szCs w:val="22"/>
          <w:lang w:eastAsia="cs-CZ" w:bidi="ar-SA"/>
        </w:rPr>
        <w:t xml:space="preserve">. </w:t>
      </w:r>
      <w:r w:rsidR="007718D8">
        <w:rPr>
          <w:rFonts w:eastAsia="Times New Roman" w:cs="Calibri"/>
          <w:color w:val="000000"/>
          <w:spacing w:val="-4"/>
          <w:szCs w:val="22"/>
          <w:lang w:eastAsia="cs-CZ" w:bidi="ar-SA"/>
        </w:rPr>
        <w:t>Struktura financování je zřejmá z následujícího grafu.</w:t>
      </w:r>
    </w:p>
    <w:p w14:paraId="49E9C767" w14:textId="77777777" w:rsidR="00A33BBC" w:rsidRDefault="00A33BBC" w:rsidP="00A33BBC">
      <w:pPr>
        <w:spacing w:before="0" w:after="0" w:line="240" w:lineRule="auto"/>
        <w:jc w:val="left"/>
        <w:rPr>
          <w:b/>
          <w:szCs w:val="22"/>
        </w:rPr>
      </w:pPr>
    </w:p>
    <w:p w14:paraId="289385B9" w14:textId="77777777" w:rsidR="007A2053" w:rsidRDefault="007A2053" w:rsidP="00A33BBC">
      <w:pPr>
        <w:spacing w:before="0" w:after="0" w:line="240" w:lineRule="auto"/>
        <w:jc w:val="left"/>
        <w:rPr>
          <w:b/>
          <w:szCs w:val="22"/>
        </w:rPr>
      </w:pPr>
    </w:p>
    <w:p w14:paraId="3E7DD2BD" w14:textId="77777777" w:rsidR="007A2053" w:rsidRDefault="007A2053" w:rsidP="00A33BBC">
      <w:pPr>
        <w:spacing w:before="0" w:after="0" w:line="240" w:lineRule="auto"/>
        <w:jc w:val="left"/>
        <w:rPr>
          <w:b/>
          <w:szCs w:val="22"/>
        </w:rPr>
      </w:pPr>
    </w:p>
    <w:p w14:paraId="7C0A6FE7" w14:textId="77777777" w:rsidR="007A2053" w:rsidRDefault="007A2053" w:rsidP="00A33BBC">
      <w:pPr>
        <w:spacing w:before="0" w:after="0" w:line="240" w:lineRule="auto"/>
        <w:jc w:val="left"/>
        <w:rPr>
          <w:b/>
          <w:szCs w:val="22"/>
        </w:rPr>
      </w:pPr>
    </w:p>
    <w:p w14:paraId="3773E98E" w14:textId="77777777" w:rsidR="007A2053" w:rsidRDefault="007A2053" w:rsidP="00A33BBC">
      <w:pPr>
        <w:spacing w:before="0" w:after="0" w:line="240" w:lineRule="auto"/>
        <w:jc w:val="left"/>
        <w:rPr>
          <w:b/>
          <w:szCs w:val="22"/>
        </w:rPr>
      </w:pPr>
    </w:p>
    <w:p w14:paraId="74D3B124" w14:textId="77777777" w:rsidR="007A2053" w:rsidRDefault="007A2053" w:rsidP="00A33BBC">
      <w:pPr>
        <w:spacing w:before="0" w:after="0" w:line="240" w:lineRule="auto"/>
        <w:jc w:val="left"/>
        <w:rPr>
          <w:b/>
          <w:szCs w:val="22"/>
        </w:rPr>
      </w:pPr>
    </w:p>
    <w:p w14:paraId="783FB9FF" w14:textId="77777777" w:rsidR="007A2053" w:rsidRDefault="007A2053" w:rsidP="00A33BBC">
      <w:pPr>
        <w:spacing w:before="0" w:after="0" w:line="240" w:lineRule="auto"/>
        <w:jc w:val="left"/>
        <w:rPr>
          <w:b/>
          <w:szCs w:val="22"/>
        </w:rPr>
      </w:pPr>
    </w:p>
    <w:p w14:paraId="3FCF58A8" w14:textId="77777777" w:rsidR="007A2053" w:rsidRDefault="007A2053" w:rsidP="00A33BBC">
      <w:pPr>
        <w:spacing w:before="0" w:after="0" w:line="240" w:lineRule="auto"/>
        <w:jc w:val="left"/>
        <w:rPr>
          <w:b/>
          <w:szCs w:val="22"/>
        </w:rPr>
      </w:pPr>
    </w:p>
    <w:p w14:paraId="108909F6" w14:textId="77777777" w:rsidR="007A2053" w:rsidRDefault="007A2053" w:rsidP="00A33BBC">
      <w:pPr>
        <w:spacing w:before="0" w:after="0" w:line="240" w:lineRule="auto"/>
        <w:jc w:val="left"/>
        <w:rPr>
          <w:b/>
          <w:szCs w:val="22"/>
        </w:rPr>
      </w:pPr>
    </w:p>
    <w:p w14:paraId="744FEF8A" w14:textId="77777777" w:rsidR="007A2053" w:rsidRDefault="007A2053" w:rsidP="00A33BBC">
      <w:pPr>
        <w:spacing w:before="0" w:after="0" w:line="240" w:lineRule="auto"/>
        <w:jc w:val="left"/>
        <w:rPr>
          <w:b/>
          <w:szCs w:val="22"/>
        </w:rPr>
      </w:pPr>
    </w:p>
    <w:p w14:paraId="39A584C8" w14:textId="77777777" w:rsidR="00A33BBC" w:rsidRDefault="00A33BBC" w:rsidP="00A33BBC">
      <w:pPr>
        <w:spacing w:before="0" w:after="0" w:line="240" w:lineRule="auto"/>
        <w:jc w:val="left"/>
        <w:rPr>
          <w:rFonts w:eastAsia="Times New Roman" w:cs="Calibri"/>
          <w:color w:val="000000"/>
          <w:spacing w:val="0"/>
          <w:szCs w:val="22"/>
          <w:lang w:eastAsia="cs-CZ" w:bidi="ar-SA"/>
        </w:rPr>
      </w:pPr>
      <w:bookmarkStart w:id="55" w:name="_Toc5626491"/>
      <w:r w:rsidRPr="00570F07">
        <w:rPr>
          <w:b/>
          <w:szCs w:val="22"/>
        </w:rPr>
        <w:lastRenderedPageBreak/>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8</w:t>
      </w:r>
      <w:r w:rsidR="008A090D" w:rsidRPr="00570F07">
        <w:rPr>
          <w:b/>
          <w:szCs w:val="22"/>
        </w:rPr>
        <w:fldChar w:fldCharType="end"/>
      </w:r>
      <w:r w:rsidRPr="00570F07">
        <w:rPr>
          <w:b/>
          <w:szCs w:val="22"/>
        </w:rPr>
        <w:t xml:space="preserve"> </w:t>
      </w:r>
      <w:r w:rsidR="009E5469">
        <w:rPr>
          <w:b/>
          <w:szCs w:val="22"/>
        </w:rPr>
        <w:t>–</w:t>
      </w:r>
      <w:r w:rsidRPr="00570F07">
        <w:rPr>
          <w:b/>
          <w:szCs w:val="22"/>
        </w:rPr>
        <w:t xml:space="preserve"> </w:t>
      </w:r>
      <w:r w:rsidR="009E5469" w:rsidRPr="00B964EA">
        <w:rPr>
          <w:rFonts w:eastAsia="Times New Roman" w:cs="Calibri"/>
          <w:color w:val="000000"/>
          <w:spacing w:val="0"/>
          <w:szCs w:val="22"/>
          <w:lang w:eastAsia="cs-CZ" w:bidi="ar-SA"/>
        </w:rPr>
        <w:t>Struktura financování</w:t>
      </w:r>
      <w:r w:rsidRPr="00B964EA">
        <w:rPr>
          <w:rFonts w:eastAsia="Times New Roman" w:cs="Calibri"/>
          <w:color w:val="000000"/>
          <w:spacing w:val="0"/>
          <w:szCs w:val="22"/>
          <w:lang w:eastAsia="cs-CZ" w:bidi="ar-SA"/>
        </w:rPr>
        <w:t xml:space="preserve"> Národní RIS3 strategie z operačních programů k</w:t>
      </w:r>
      <w:r w:rsidR="00031F72" w:rsidRPr="00B964EA">
        <w:rPr>
          <w:rFonts w:eastAsia="Times New Roman" w:cs="Calibri"/>
          <w:color w:val="000000"/>
          <w:spacing w:val="0"/>
          <w:szCs w:val="22"/>
          <w:lang w:eastAsia="cs-CZ" w:bidi="ar-SA"/>
        </w:rPr>
        <w:t xml:space="preserve"> </w:t>
      </w:r>
      <w:r w:rsidRPr="00B964EA">
        <w:rPr>
          <w:rFonts w:eastAsia="Times New Roman" w:cs="Calibri"/>
          <w:color w:val="000000"/>
          <w:spacing w:val="0"/>
          <w:szCs w:val="22"/>
          <w:lang w:eastAsia="cs-CZ" w:bidi="ar-SA"/>
        </w:rPr>
        <w:t>10/2018</w:t>
      </w:r>
      <w:bookmarkEnd w:id="55"/>
    </w:p>
    <w:p w14:paraId="1DE3CC0B" w14:textId="77777777" w:rsidR="00A33BBC" w:rsidRDefault="00A33BBC" w:rsidP="00A33BBC">
      <w:pPr>
        <w:spacing w:before="0" w:after="0" w:line="240" w:lineRule="auto"/>
        <w:jc w:val="left"/>
        <w:rPr>
          <w:rFonts w:eastAsia="Times New Roman" w:cs="Calibri"/>
          <w:color w:val="000000"/>
          <w:spacing w:val="0"/>
          <w:szCs w:val="22"/>
          <w:lang w:eastAsia="cs-CZ" w:bidi="ar-SA"/>
        </w:rPr>
      </w:pPr>
    </w:p>
    <w:p w14:paraId="47177E3D" w14:textId="77777777" w:rsidR="00A33BBC" w:rsidRDefault="00A33BBC" w:rsidP="00A33BBC">
      <w:pPr>
        <w:spacing w:before="0" w:after="0" w:line="240" w:lineRule="auto"/>
        <w:jc w:val="left"/>
        <w:rPr>
          <w:lang w:bidi="ar-SA"/>
        </w:rPr>
      </w:pPr>
      <w:r w:rsidRPr="00365E59">
        <w:rPr>
          <w:noProof/>
          <w:lang w:eastAsia="cs-CZ" w:bidi="ar-SA"/>
        </w:rPr>
        <w:drawing>
          <wp:inline distT="0" distB="0" distL="0" distR="0" wp14:anchorId="74D7D33B" wp14:editId="16CF8648">
            <wp:extent cx="5399405" cy="1780897"/>
            <wp:effectExtent l="19050" t="0" r="0" b="0"/>
            <wp:docPr id="2057"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srcRect/>
                    <a:stretch>
                      <a:fillRect/>
                    </a:stretch>
                  </pic:blipFill>
                  <pic:spPr bwMode="auto">
                    <a:xfrm>
                      <a:off x="0" y="0"/>
                      <a:ext cx="5399405" cy="1780897"/>
                    </a:xfrm>
                    <a:prstGeom prst="rect">
                      <a:avLst/>
                    </a:prstGeom>
                    <a:noFill/>
                    <a:ln w="9525">
                      <a:noFill/>
                      <a:miter lim="800000"/>
                      <a:headEnd/>
                      <a:tailEnd/>
                    </a:ln>
                  </pic:spPr>
                </pic:pic>
              </a:graphicData>
            </a:graphic>
          </wp:inline>
        </w:drawing>
      </w:r>
    </w:p>
    <w:p w14:paraId="6B52C57F" w14:textId="77777777" w:rsidR="00A33BBC" w:rsidRPr="001B560C" w:rsidRDefault="00A33BBC" w:rsidP="00A33BBC">
      <w:pPr>
        <w:spacing w:before="0" w:after="0" w:line="240" w:lineRule="auto"/>
        <w:jc w:val="left"/>
        <w:rPr>
          <w:sz w:val="18"/>
          <w:szCs w:val="18"/>
          <w:lang w:bidi="ar-SA"/>
        </w:rPr>
      </w:pPr>
      <w:r w:rsidRPr="001B560C">
        <w:rPr>
          <w:sz w:val="18"/>
          <w:szCs w:val="18"/>
          <w:lang w:bidi="ar-SA"/>
        </w:rPr>
        <w:t xml:space="preserve">Zdroj: </w:t>
      </w:r>
      <w:r>
        <w:rPr>
          <w:sz w:val="18"/>
          <w:szCs w:val="18"/>
          <w:lang w:bidi="ar-SA"/>
        </w:rPr>
        <w:t>monitoring MPO, vlastní zpracování</w:t>
      </w:r>
    </w:p>
    <w:p w14:paraId="616F8315" w14:textId="77777777" w:rsidR="00A33BBC" w:rsidRDefault="00A33BBC" w:rsidP="00A33BBC">
      <w:pPr>
        <w:rPr>
          <w:rFonts w:eastAsia="Times New Roman" w:cs="Calibri"/>
          <w:color w:val="000000"/>
          <w:spacing w:val="-4"/>
          <w:szCs w:val="22"/>
          <w:lang w:eastAsia="cs-CZ" w:bidi="ar-SA"/>
        </w:rPr>
      </w:pPr>
      <w:r w:rsidRPr="0069381D">
        <w:rPr>
          <w:rFonts w:eastAsia="Times New Roman" w:cs="Calibri"/>
          <w:color w:val="000000"/>
          <w:spacing w:val="-4"/>
          <w:szCs w:val="22"/>
          <w:lang w:eastAsia="cs-CZ" w:bidi="ar-SA"/>
        </w:rPr>
        <w:t xml:space="preserve">Za období realizace Národní RIS3 strategie </w:t>
      </w:r>
      <w:r w:rsidR="008A4147">
        <w:rPr>
          <w:rFonts w:eastAsia="Times New Roman" w:cs="Calibri"/>
          <w:color w:val="000000"/>
          <w:spacing w:val="-4"/>
          <w:szCs w:val="22"/>
          <w:lang w:eastAsia="cs-CZ" w:bidi="ar-SA"/>
        </w:rPr>
        <w:t>k</w:t>
      </w:r>
      <w:r w:rsidRPr="0069381D">
        <w:rPr>
          <w:rFonts w:eastAsia="Times New Roman" w:cs="Calibri"/>
          <w:color w:val="000000"/>
          <w:spacing w:val="-4"/>
          <w:szCs w:val="22"/>
          <w:lang w:eastAsia="cs-CZ" w:bidi="ar-SA"/>
        </w:rPr>
        <w:t xml:space="preserve"> 10/2018</w:t>
      </w:r>
      <w:r>
        <w:rPr>
          <w:rFonts w:eastAsia="Times New Roman" w:cs="Calibri"/>
          <w:color w:val="000000"/>
          <w:spacing w:val="-4"/>
          <w:szCs w:val="22"/>
          <w:lang w:eastAsia="cs-CZ" w:bidi="ar-SA"/>
        </w:rPr>
        <w:t xml:space="preserve"> bylo podpořeno celkem 10 659 projektů. Z toho připadají 2/3 na OP VVV. Jedná se o velký počet relativně menších projektů v průměru nepřesahujících 5 mil. Kč.</w:t>
      </w:r>
      <w:r w:rsidR="00031F72">
        <w:rPr>
          <w:rFonts w:eastAsia="Times New Roman" w:cs="Calibri"/>
          <w:color w:val="000000"/>
          <w:spacing w:val="-4"/>
          <w:szCs w:val="22"/>
          <w:lang w:eastAsia="cs-CZ" w:bidi="ar-SA"/>
        </w:rPr>
        <w:t xml:space="preserve"> </w:t>
      </w:r>
      <w:r>
        <w:rPr>
          <w:rFonts w:eastAsia="Times New Roman" w:cs="Calibri"/>
          <w:color w:val="000000"/>
          <w:spacing w:val="-4"/>
          <w:szCs w:val="22"/>
          <w:lang w:eastAsia="cs-CZ" w:bidi="ar-SA"/>
        </w:rPr>
        <w:t>Naproti tomu z OP PPR a IROP byly podpořeny relativně větší projekty, jejichž průměrná velikost byla 33 mil. Kč.</w:t>
      </w:r>
    </w:p>
    <w:p w14:paraId="0E04B6D7" w14:textId="77777777" w:rsidR="00A33BBC" w:rsidRDefault="00A33BBC" w:rsidP="00A33BBC">
      <w:pPr>
        <w:spacing w:before="0" w:after="0" w:line="240" w:lineRule="auto"/>
        <w:jc w:val="left"/>
        <w:rPr>
          <w:rFonts w:eastAsia="Times New Roman" w:cs="Calibri"/>
          <w:i/>
          <w:color w:val="000000"/>
          <w:spacing w:val="0"/>
          <w:szCs w:val="22"/>
          <w:lang w:eastAsia="cs-CZ" w:bidi="ar-SA"/>
        </w:rPr>
      </w:pPr>
      <w:bookmarkStart w:id="56" w:name="_Toc5626520"/>
      <w:r w:rsidRPr="00EE5A5B">
        <w:rPr>
          <w:rFonts w:cs="Arial-ItalicMT"/>
          <w:b/>
          <w:iCs/>
          <w:szCs w:val="22"/>
        </w:rPr>
        <w:t xml:space="preserve">Tabulka č. </w:t>
      </w:r>
      <w:r w:rsidR="008A090D" w:rsidRPr="00EE5A5B">
        <w:rPr>
          <w:rFonts w:cs="Arial-ItalicMT"/>
          <w:b/>
          <w:iCs/>
          <w:szCs w:val="22"/>
        </w:rPr>
        <w:fldChar w:fldCharType="begin"/>
      </w:r>
      <w:r w:rsidRPr="00EE5A5B">
        <w:rPr>
          <w:rFonts w:cs="Arial-ItalicMT"/>
          <w:b/>
          <w:iCs/>
          <w:szCs w:val="22"/>
        </w:rPr>
        <w:instrText xml:space="preserve"> SEQ Tabulka_č._ \* ARABIC </w:instrText>
      </w:r>
      <w:r w:rsidR="008A090D" w:rsidRPr="00EE5A5B">
        <w:rPr>
          <w:rFonts w:cs="Arial-ItalicMT"/>
          <w:b/>
          <w:iCs/>
          <w:szCs w:val="22"/>
        </w:rPr>
        <w:fldChar w:fldCharType="separate"/>
      </w:r>
      <w:r w:rsidR="002309D5">
        <w:rPr>
          <w:rFonts w:cs="Arial-ItalicMT"/>
          <w:b/>
          <w:iCs/>
          <w:noProof/>
          <w:szCs w:val="22"/>
        </w:rPr>
        <w:t>11</w:t>
      </w:r>
      <w:r w:rsidR="008A090D" w:rsidRPr="00EE5A5B">
        <w:rPr>
          <w:rFonts w:cs="Arial-ItalicMT"/>
          <w:b/>
          <w:iCs/>
          <w:szCs w:val="22"/>
        </w:rPr>
        <w:fldChar w:fldCharType="end"/>
      </w:r>
      <w:r w:rsidRPr="00EE5A5B">
        <w:rPr>
          <w:rFonts w:cs="Arial-ItalicMT"/>
          <w:b/>
          <w:iCs/>
          <w:szCs w:val="22"/>
        </w:rPr>
        <w:t xml:space="preserve"> </w:t>
      </w:r>
      <w:r>
        <w:rPr>
          <w:rFonts w:cs="Arial-ItalicMT"/>
          <w:b/>
          <w:iCs/>
          <w:szCs w:val="22"/>
        </w:rPr>
        <w:t>–</w:t>
      </w:r>
      <w:r w:rsidRPr="00D66402">
        <w:rPr>
          <w:rFonts w:cs="Arial-ItalicMT"/>
          <w:iCs/>
          <w:szCs w:val="22"/>
        </w:rPr>
        <w:t xml:space="preserve"> </w:t>
      </w:r>
      <w:r w:rsidRPr="009B2B8A">
        <w:rPr>
          <w:rFonts w:eastAsia="Times New Roman" w:cs="Calibri"/>
          <w:i/>
          <w:color w:val="000000"/>
          <w:spacing w:val="0"/>
          <w:szCs w:val="22"/>
          <w:lang w:eastAsia="cs-CZ" w:bidi="ar-SA"/>
        </w:rPr>
        <w:t>P</w:t>
      </w:r>
      <w:r>
        <w:rPr>
          <w:rFonts w:eastAsia="Times New Roman" w:cs="Calibri"/>
          <w:i/>
          <w:color w:val="000000"/>
          <w:spacing w:val="0"/>
          <w:szCs w:val="22"/>
          <w:lang w:eastAsia="cs-CZ" w:bidi="ar-SA"/>
        </w:rPr>
        <w:t>očet a p</w:t>
      </w:r>
      <w:r w:rsidRPr="009B2B8A">
        <w:rPr>
          <w:rFonts w:eastAsia="Times New Roman" w:cs="Calibri"/>
          <w:i/>
          <w:color w:val="000000"/>
          <w:spacing w:val="0"/>
          <w:szCs w:val="22"/>
          <w:lang w:eastAsia="cs-CZ" w:bidi="ar-SA"/>
        </w:rPr>
        <w:t>růměrná velikost projektů v operačních programech</w:t>
      </w:r>
      <w:bookmarkEnd w:id="56"/>
    </w:p>
    <w:p w14:paraId="65E71365" w14:textId="77777777" w:rsidR="00A33BBC" w:rsidRDefault="00A33BBC" w:rsidP="00A33BBC">
      <w:pPr>
        <w:spacing w:before="0" w:after="0" w:line="240" w:lineRule="auto"/>
        <w:jc w:val="left"/>
        <w:rPr>
          <w:rFonts w:eastAsia="Times New Roman" w:cs="Calibri"/>
          <w:color w:val="000000"/>
          <w:spacing w:val="0"/>
          <w:szCs w:val="22"/>
          <w:lang w:eastAsia="cs-CZ" w:bidi="ar-SA"/>
        </w:rPr>
      </w:pPr>
    </w:p>
    <w:tbl>
      <w:tblPr>
        <w:tblW w:w="8510" w:type="dxa"/>
        <w:tblInd w:w="65" w:type="dxa"/>
        <w:tblCellMar>
          <w:left w:w="70" w:type="dxa"/>
          <w:right w:w="70" w:type="dxa"/>
        </w:tblCellMar>
        <w:tblLook w:val="04A0" w:firstRow="1" w:lastRow="0" w:firstColumn="1" w:lastColumn="0" w:noHBand="0" w:noVBand="1"/>
      </w:tblPr>
      <w:tblGrid>
        <w:gridCol w:w="1706"/>
        <w:gridCol w:w="2552"/>
        <w:gridCol w:w="1843"/>
        <w:gridCol w:w="2409"/>
      </w:tblGrid>
      <w:tr w:rsidR="00A33BBC" w:rsidRPr="00E50C80" w14:paraId="43E37CB1" w14:textId="77777777" w:rsidTr="00F10A9D">
        <w:trPr>
          <w:trHeight w:val="315"/>
        </w:trPr>
        <w:tc>
          <w:tcPr>
            <w:tcW w:w="1706" w:type="dxa"/>
            <w:tcBorders>
              <w:top w:val="single" w:sz="4" w:space="0" w:color="auto"/>
              <w:left w:val="single" w:sz="4" w:space="0" w:color="auto"/>
              <w:bottom w:val="single" w:sz="4" w:space="0" w:color="auto"/>
              <w:right w:val="single" w:sz="4" w:space="0" w:color="auto"/>
            </w:tcBorders>
            <w:shd w:val="clear" w:color="auto" w:fill="4F81BD"/>
            <w:hideMark/>
          </w:tcPr>
          <w:p w14:paraId="6CDFF9DB" w14:textId="77777777" w:rsidR="00A33BBC" w:rsidRPr="00E50C80" w:rsidRDefault="00A33BBC" w:rsidP="00F10A9D">
            <w:pPr>
              <w:spacing w:before="120" w:after="120" w:line="240" w:lineRule="auto"/>
              <w:jc w:val="left"/>
              <w:rPr>
                <w:rFonts w:eastAsia="Times New Roman" w:cs="Calibri"/>
                <w:b/>
                <w:bCs/>
                <w:color w:val="FFFFFF" w:themeColor="background1"/>
                <w:spacing w:val="0"/>
                <w:sz w:val="20"/>
                <w:lang w:eastAsia="cs-CZ" w:bidi="ar-SA"/>
              </w:rPr>
            </w:pPr>
            <w:r w:rsidRPr="00E50C80">
              <w:rPr>
                <w:rFonts w:eastAsia="Times New Roman" w:cs="Calibri"/>
                <w:b/>
                <w:bCs/>
                <w:color w:val="FFFFFF" w:themeColor="background1"/>
                <w:spacing w:val="0"/>
                <w:sz w:val="20"/>
                <w:lang w:eastAsia="cs-CZ" w:bidi="ar-SA"/>
              </w:rPr>
              <w:t>Program</w:t>
            </w:r>
          </w:p>
        </w:tc>
        <w:tc>
          <w:tcPr>
            <w:tcW w:w="2552" w:type="dxa"/>
            <w:tcBorders>
              <w:top w:val="single" w:sz="4" w:space="0" w:color="auto"/>
              <w:left w:val="nil"/>
              <w:bottom w:val="single" w:sz="4" w:space="0" w:color="auto"/>
              <w:right w:val="single" w:sz="4" w:space="0" w:color="auto"/>
            </w:tcBorders>
            <w:shd w:val="clear" w:color="auto" w:fill="4F81BD"/>
            <w:hideMark/>
          </w:tcPr>
          <w:p w14:paraId="67814389" w14:textId="77777777" w:rsidR="00A33BBC" w:rsidRPr="00E50C80" w:rsidRDefault="00A33BBC" w:rsidP="00F10A9D">
            <w:pPr>
              <w:spacing w:before="120" w:after="120" w:line="240" w:lineRule="auto"/>
              <w:jc w:val="left"/>
              <w:rPr>
                <w:rFonts w:eastAsia="Times New Roman" w:cs="Calibri"/>
                <w:b/>
                <w:bCs/>
                <w:color w:val="FFFFFF" w:themeColor="background1"/>
                <w:spacing w:val="0"/>
                <w:sz w:val="20"/>
                <w:lang w:eastAsia="cs-CZ" w:bidi="ar-SA"/>
              </w:rPr>
            </w:pPr>
            <w:r w:rsidRPr="00E50C80">
              <w:rPr>
                <w:rFonts w:eastAsia="Times New Roman" w:cs="Calibri"/>
                <w:b/>
                <w:bCs/>
                <w:color w:val="FFFFFF" w:themeColor="background1"/>
                <w:spacing w:val="0"/>
                <w:sz w:val="20"/>
                <w:lang w:eastAsia="cs-CZ" w:bidi="ar-SA"/>
              </w:rPr>
              <w:t>Stav k 10/2018 (v mld. Kč)</w:t>
            </w:r>
          </w:p>
        </w:tc>
        <w:tc>
          <w:tcPr>
            <w:tcW w:w="1843" w:type="dxa"/>
            <w:tcBorders>
              <w:top w:val="single" w:sz="4" w:space="0" w:color="auto"/>
              <w:left w:val="nil"/>
              <w:bottom w:val="single" w:sz="4" w:space="0" w:color="auto"/>
              <w:right w:val="single" w:sz="4" w:space="0" w:color="auto"/>
            </w:tcBorders>
            <w:shd w:val="clear" w:color="auto" w:fill="4F81BD"/>
            <w:hideMark/>
          </w:tcPr>
          <w:p w14:paraId="6508DE12" w14:textId="77777777" w:rsidR="00A33BBC" w:rsidRPr="00E50C80" w:rsidRDefault="00A33BBC" w:rsidP="00F10A9D">
            <w:pPr>
              <w:spacing w:before="120" w:after="120" w:line="240" w:lineRule="auto"/>
              <w:jc w:val="left"/>
              <w:rPr>
                <w:rFonts w:eastAsia="Times New Roman" w:cs="Calibri"/>
                <w:b/>
                <w:bCs/>
                <w:color w:val="FFFFFF" w:themeColor="background1"/>
                <w:spacing w:val="0"/>
                <w:sz w:val="20"/>
                <w:lang w:eastAsia="cs-CZ" w:bidi="ar-SA"/>
              </w:rPr>
            </w:pPr>
            <w:r w:rsidRPr="00E50C80">
              <w:rPr>
                <w:rFonts w:eastAsia="Times New Roman" w:cs="Calibri"/>
                <w:b/>
                <w:bCs/>
                <w:color w:val="FFFFFF" w:themeColor="background1"/>
                <w:spacing w:val="0"/>
                <w:sz w:val="20"/>
                <w:lang w:eastAsia="cs-CZ" w:bidi="ar-SA"/>
              </w:rPr>
              <w:t>Počet projektů</w:t>
            </w:r>
          </w:p>
        </w:tc>
        <w:tc>
          <w:tcPr>
            <w:tcW w:w="2409" w:type="dxa"/>
            <w:tcBorders>
              <w:top w:val="single" w:sz="4" w:space="0" w:color="auto"/>
              <w:left w:val="nil"/>
              <w:bottom w:val="single" w:sz="4" w:space="0" w:color="auto"/>
              <w:right w:val="single" w:sz="4" w:space="0" w:color="auto"/>
            </w:tcBorders>
            <w:shd w:val="clear" w:color="auto" w:fill="4F81BD"/>
            <w:hideMark/>
          </w:tcPr>
          <w:p w14:paraId="203C49AF" w14:textId="77777777" w:rsidR="00A33BBC" w:rsidRPr="00E50C80" w:rsidRDefault="00A33BBC" w:rsidP="00F10A9D">
            <w:pPr>
              <w:spacing w:before="120" w:after="120" w:line="240" w:lineRule="auto"/>
              <w:jc w:val="left"/>
              <w:rPr>
                <w:rFonts w:eastAsia="Times New Roman" w:cs="Calibri"/>
                <w:b/>
                <w:bCs/>
                <w:color w:val="FFFFFF" w:themeColor="background1"/>
                <w:spacing w:val="0"/>
                <w:sz w:val="20"/>
                <w:lang w:eastAsia="cs-CZ" w:bidi="ar-SA"/>
              </w:rPr>
            </w:pPr>
            <w:r w:rsidRPr="00E50C80">
              <w:rPr>
                <w:rFonts w:eastAsia="Times New Roman" w:cs="Calibri"/>
                <w:b/>
                <w:bCs/>
                <w:color w:val="FFFFFF" w:themeColor="background1"/>
                <w:spacing w:val="0"/>
                <w:sz w:val="20"/>
                <w:lang w:eastAsia="cs-CZ" w:bidi="ar-SA"/>
              </w:rPr>
              <w:t>Průměr na projekt (mil. Kč)</w:t>
            </w:r>
          </w:p>
        </w:tc>
      </w:tr>
      <w:tr w:rsidR="00A33BBC" w:rsidRPr="00365E59" w14:paraId="393D33C1" w14:textId="77777777" w:rsidTr="00F10A9D">
        <w:trPr>
          <w:trHeight w:val="300"/>
        </w:trPr>
        <w:tc>
          <w:tcPr>
            <w:tcW w:w="1706" w:type="dxa"/>
            <w:tcBorders>
              <w:top w:val="nil"/>
              <w:left w:val="single" w:sz="4" w:space="0" w:color="auto"/>
              <w:bottom w:val="single" w:sz="4" w:space="0" w:color="auto"/>
              <w:right w:val="single" w:sz="4" w:space="0" w:color="auto"/>
            </w:tcBorders>
            <w:shd w:val="clear" w:color="auto" w:fill="auto"/>
            <w:vAlign w:val="bottom"/>
            <w:hideMark/>
          </w:tcPr>
          <w:p w14:paraId="09335C09" w14:textId="77777777" w:rsidR="00A33BBC" w:rsidRPr="00365E59" w:rsidRDefault="00A33BBC" w:rsidP="00F10A9D">
            <w:pPr>
              <w:spacing w:before="0" w:after="0" w:line="240" w:lineRule="auto"/>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OP PIK</w:t>
            </w:r>
          </w:p>
        </w:tc>
        <w:tc>
          <w:tcPr>
            <w:tcW w:w="2552" w:type="dxa"/>
            <w:tcBorders>
              <w:top w:val="nil"/>
              <w:left w:val="nil"/>
              <w:bottom w:val="single" w:sz="4" w:space="0" w:color="auto"/>
              <w:right w:val="single" w:sz="4" w:space="0" w:color="auto"/>
            </w:tcBorders>
            <w:shd w:val="clear" w:color="auto" w:fill="auto"/>
            <w:noWrap/>
            <w:vAlign w:val="bottom"/>
            <w:hideMark/>
          </w:tcPr>
          <w:p w14:paraId="125E6E8F" w14:textId="77777777" w:rsidR="00A33BBC" w:rsidRPr="00365E59" w:rsidRDefault="00A33BBC" w:rsidP="00F10A9D">
            <w:pPr>
              <w:spacing w:before="0" w:after="0" w:line="240" w:lineRule="auto"/>
              <w:jc w:val="righ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57,51</w:t>
            </w:r>
          </w:p>
        </w:tc>
        <w:tc>
          <w:tcPr>
            <w:tcW w:w="1843" w:type="dxa"/>
            <w:tcBorders>
              <w:top w:val="nil"/>
              <w:left w:val="nil"/>
              <w:bottom w:val="single" w:sz="4" w:space="0" w:color="auto"/>
              <w:right w:val="single" w:sz="4" w:space="0" w:color="auto"/>
            </w:tcBorders>
            <w:shd w:val="clear" w:color="auto" w:fill="auto"/>
            <w:hideMark/>
          </w:tcPr>
          <w:p w14:paraId="4BC41AA5" w14:textId="77777777" w:rsidR="00A33BBC" w:rsidRPr="00365E59" w:rsidRDefault="00A33BBC" w:rsidP="00F10A9D">
            <w:pPr>
              <w:spacing w:before="0" w:after="0" w:line="240" w:lineRule="auto"/>
              <w:jc w:val="righ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3</w:t>
            </w:r>
            <w:r w:rsidR="00A649C6">
              <w:rPr>
                <w:rFonts w:eastAsia="Times New Roman" w:cs="Calibri"/>
                <w:color w:val="000000"/>
                <w:spacing w:val="0"/>
                <w:sz w:val="20"/>
                <w:lang w:eastAsia="cs-CZ" w:bidi="ar-SA"/>
              </w:rPr>
              <w:t xml:space="preserve"> </w:t>
            </w:r>
            <w:r w:rsidRPr="00365E59">
              <w:rPr>
                <w:rFonts w:eastAsia="Times New Roman" w:cs="Calibri"/>
                <w:color w:val="000000"/>
                <w:spacing w:val="0"/>
                <w:sz w:val="20"/>
                <w:lang w:eastAsia="cs-CZ" w:bidi="ar-SA"/>
              </w:rPr>
              <w:t>323</w:t>
            </w:r>
          </w:p>
        </w:tc>
        <w:tc>
          <w:tcPr>
            <w:tcW w:w="2409" w:type="dxa"/>
            <w:tcBorders>
              <w:top w:val="nil"/>
              <w:left w:val="nil"/>
              <w:bottom w:val="single" w:sz="4" w:space="0" w:color="auto"/>
              <w:right w:val="single" w:sz="4" w:space="0" w:color="auto"/>
            </w:tcBorders>
            <w:shd w:val="clear" w:color="auto" w:fill="auto"/>
            <w:hideMark/>
          </w:tcPr>
          <w:p w14:paraId="3D3F1CB5" w14:textId="77777777" w:rsidR="00A33BBC" w:rsidRPr="00365E59" w:rsidRDefault="00A33BBC" w:rsidP="00F10A9D">
            <w:pPr>
              <w:spacing w:before="0" w:after="0" w:line="240" w:lineRule="auto"/>
              <w:jc w:val="righ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17,31</w:t>
            </w:r>
          </w:p>
        </w:tc>
      </w:tr>
      <w:tr w:rsidR="00A33BBC" w:rsidRPr="00365E59" w14:paraId="37EF9BD3" w14:textId="77777777" w:rsidTr="00F10A9D">
        <w:trPr>
          <w:trHeight w:val="300"/>
        </w:trPr>
        <w:tc>
          <w:tcPr>
            <w:tcW w:w="1706" w:type="dxa"/>
            <w:tcBorders>
              <w:top w:val="nil"/>
              <w:left w:val="single" w:sz="4" w:space="0" w:color="auto"/>
              <w:bottom w:val="single" w:sz="4" w:space="0" w:color="auto"/>
              <w:right w:val="single" w:sz="4" w:space="0" w:color="auto"/>
            </w:tcBorders>
            <w:shd w:val="clear" w:color="auto" w:fill="auto"/>
            <w:vAlign w:val="bottom"/>
            <w:hideMark/>
          </w:tcPr>
          <w:p w14:paraId="7BF75172" w14:textId="77777777" w:rsidR="00A33BBC" w:rsidRPr="00365E59" w:rsidRDefault="00A33BBC" w:rsidP="00F10A9D">
            <w:pPr>
              <w:spacing w:before="0" w:after="0" w:line="240" w:lineRule="auto"/>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OP VVV</w:t>
            </w:r>
          </w:p>
        </w:tc>
        <w:tc>
          <w:tcPr>
            <w:tcW w:w="2552" w:type="dxa"/>
            <w:tcBorders>
              <w:top w:val="nil"/>
              <w:left w:val="nil"/>
              <w:bottom w:val="single" w:sz="4" w:space="0" w:color="auto"/>
              <w:right w:val="single" w:sz="4" w:space="0" w:color="auto"/>
            </w:tcBorders>
            <w:shd w:val="clear" w:color="auto" w:fill="auto"/>
            <w:noWrap/>
            <w:vAlign w:val="bottom"/>
            <w:hideMark/>
          </w:tcPr>
          <w:p w14:paraId="59FC768D" w14:textId="77777777" w:rsidR="00A33BBC" w:rsidRPr="00365E59" w:rsidRDefault="00A33BBC" w:rsidP="00F10A9D">
            <w:pPr>
              <w:spacing w:before="0" w:after="0" w:line="240" w:lineRule="auto"/>
              <w:jc w:val="righ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33,80</w:t>
            </w:r>
          </w:p>
        </w:tc>
        <w:tc>
          <w:tcPr>
            <w:tcW w:w="1843" w:type="dxa"/>
            <w:tcBorders>
              <w:top w:val="nil"/>
              <w:left w:val="nil"/>
              <w:bottom w:val="single" w:sz="4" w:space="0" w:color="auto"/>
              <w:right w:val="single" w:sz="4" w:space="0" w:color="auto"/>
            </w:tcBorders>
            <w:shd w:val="clear" w:color="auto" w:fill="auto"/>
            <w:hideMark/>
          </w:tcPr>
          <w:p w14:paraId="455CEE0B" w14:textId="77777777" w:rsidR="00A33BBC" w:rsidRPr="00365E59" w:rsidRDefault="00A33BBC" w:rsidP="00F10A9D">
            <w:pPr>
              <w:spacing w:before="0" w:after="0" w:line="240" w:lineRule="auto"/>
              <w:jc w:val="righ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6</w:t>
            </w:r>
            <w:r w:rsidR="00A649C6">
              <w:rPr>
                <w:rFonts w:eastAsia="Times New Roman" w:cs="Calibri"/>
                <w:color w:val="000000"/>
                <w:spacing w:val="0"/>
                <w:sz w:val="20"/>
                <w:lang w:eastAsia="cs-CZ" w:bidi="ar-SA"/>
              </w:rPr>
              <w:t xml:space="preserve"> </w:t>
            </w:r>
            <w:r w:rsidRPr="00365E59">
              <w:rPr>
                <w:rFonts w:eastAsia="Times New Roman" w:cs="Calibri"/>
                <w:color w:val="000000"/>
                <w:spacing w:val="0"/>
                <w:sz w:val="20"/>
                <w:lang w:eastAsia="cs-CZ" w:bidi="ar-SA"/>
              </w:rPr>
              <w:t>932</w:t>
            </w:r>
          </w:p>
        </w:tc>
        <w:tc>
          <w:tcPr>
            <w:tcW w:w="2409" w:type="dxa"/>
            <w:tcBorders>
              <w:top w:val="nil"/>
              <w:left w:val="nil"/>
              <w:bottom w:val="single" w:sz="4" w:space="0" w:color="auto"/>
              <w:right w:val="single" w:sz="4" w:space="0" w:color="auto"/>
            </w:tcBorders>
            <w:shd w:val="clear" w:color="auto" w:fill="auto"/>
            <w:hideMark/>
          </w:tcPr>
          <w:p w14:paraId="1924E847" w14:textId="77777777" w:rsidR="00A33BBC" w:rsidRPr="00365E59" w:rsidRDefault="00A33BBC" w:rsidP="00F10A9D">
            <w:pPr>
              <w:spacing w:before="0" w:after="0" w:line="240" w:lineRule="auto"/>
              <w:jc w:val="righ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4,88</w:t>
            </w:r>
          </w:p>
        </w:tc>
      </w:tr>
      <w:tr w:rsidR="00A33BBC" w:rsidRPr="00365E59" w14:paraId="50F57814" w14:textId="77777777" w:rsidTr="00F10A9D">
        <w:trPr>
          <w:trHeight w:val="300"/>
        </w:trPr>
        <w:tc>
          <w:tcPr>
            <w:tcW w:w="1706" w:type="dxa"/>
            <w:tcBorders>
              <w:top w:val="nil"/>
              <w:left w:val="single" w:sz="4" w:space="0" w:color="auto"/>
              <w:bottom w:val="single" w:sz="4" w:space="0" w:color="auto"/>
              <w:right w:val="single" w:sz="4" w:space="0" w:color="auto"/>
            </w:tcBorders>
            <w:shd w:val="clear" w:color="auto" w:fill="auto"/>
            <w:vAlign w:val="bottom"/>
            <w:hideMark/>
          </w:tcPr>
          <w:p w14:paraId="7E39B1AF" w14:textId="77777777" w:rsidR="00A33BBC" w:rsidRPr="00365E59" w:rsidRDefault="00A33BBC" w:rsidP="00F10A9D">
            <w:pPr>
              <w:spacing w:before="0" w:after="0" w:line="240" w:lineRule="auto"/>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OP PPR</w:t>
            </w:r>
          </w:p>
        </w:tc>
        <w:tc>
          <w:tcPr>
            <w:tcW w:w="2552" w:type="dxa"/>
            <w:tcBorders>
              <w:top w:val="nil"/>
              <w:left w:val="nil"/>
              <w:bottom w:val="single" w:sz="4" w:space="0" w:color="auto"/>
              <w:right w:val="single" w:sz="4" w:space="0" w:color="auto"/>
            </w:tcBorders>
            <w:shd w:val="clear" w:color="auto" w:fill="auto"/>
            <w:noWrap/>
            <w:vAlign w:val="bottom"/>
            <w:hideMark/>
          </w:tcPr>
          <w:p w14:paraId="06628415" w14:textId="77777777" w:rsidR="00A33BBC" w:rsidRPr="00365E59" w:rsidRDefault="00A33BBC" w:rsidP="00F10A9D">
            <w:pPr>
              <w:spacing w:before="0" w:after="0" w:line="240" w:lineRule="auto"/>
              <w:jc w:val="righ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2,01</w:t>
            </w:r>
          </w:p>
        </w:tc>
        <w:tc>
          <w:tcPr>
            <w:tcW w:w="1843" w:type="dxa"/>
            <w:tcBorders>
              <w:top w:val="nil"/>
              <w:left w:val="nil"/>
              <w:bottom w:val="single" w:sz="4" w:space="0" w:color="auto"/>
              <w:right w:val="single" w:sz="4" w:space="0" w:color="auto"/>
            </w:tcBorders>
            <w:shd w:val="clear" w:color="auto" w:fill="auto"/>
            <w:hideMark/>
          </w:tcPr>
          <w:p w14:paraId="0C71D6B3" w14:textId="77777777" w:rsidR="00A33BBC" w:rsidRPr="00365E59" w:rsidRDefault="00A33BBC" w:rsidP="00F10A9D">
            <w:pPr>
              <w:spacing w:before="0" w:after="0" w:line="240" w:lineRule="auto"/>
              <w:jc w:val="righ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61</w:t>
            </w:r>
          </w:p>
        </w:tc>
        <w:tc>
          <w:tcPr>
            <w:tcW w:w="2409" w:type="dxa"/>
            <w:tcBorders>
              <w:top w:val="nil"/>
              <w:left w:val="nil"/>
              <w:bottom w:val="single" w:sz="4" w:space="0" w:color="auto"/>
              <w:right w:val="single" w:sz="4" w:space="0" w:color="auto"/>
            </w:tcBorders>
            <w:shd w:val="clear" w:color="auto" w:fill="auto"/>
            <w:hideMark/>
          </w:tcPr>
          <w:p w14:paraId="064645EE" w14:textId="77777777" w:rsidR="00A33BBC" w:rsidRPr="00365E59" w:rsidRDefault="00A33BBC" w:rsidP="00F10A9D">
            <w:pPr>
              <w:spacing w:before="0" w:after="0" w:line="240" w:lineRule="auto"/>
              <w:jc w:val="righ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32,95</w:t>
            </w:r>
          </w:p>
        </w:tc>
      </w:tr>
      <w:tr w:rsidR="00A33BBC" w:rsidRPr="00365E59" w14:paraId="542E35D1" w14:textId="77777777" w:rsidTr="00F10A9D">
        <w:trPr>
          <w:trHeight w:val="300"/>
        </w:trPr>
        <w:tc>
          <w:tcPr>
            <w:tcW w:w="1706" w:type="dxa"/>
            <w:tcBorders>
              <w:top w:val="nil"/>
              <w:left w:val="single" w:sz="4" w:space="0" w:color="auto"/>
              <w:bottom w:val="single" w:sz="4" w:space="0" w:color="auto"/>
              <w:right w:val="single" w:sz="4" w:space="0" w:color="auto"/>
            </w:tcBorders>
            <w:shd w:val="clear" w:color="auto" w:fill="auto"/>
            <w:vAlign w:val="bottom"/>
            <w:hideMark/>
          </w:tcPr>
          <w:p w14:paraId="740C6F14" w14:textId="77777777" w:rsidR="00A33BBC" w:rsidRPr="00365E59" w:rsidRDefault="00A33BBC" w:rsidP="00F10A9D">
            <w:pPr>
              <w:spacing w:before="0" w:after="0" w:line="240" w:lineRule="auto"/>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IROP</w:t>
            </w:r>
          </w:p>
        </w:tc>
        <w:tc>
          <w:tcPr>
            <w:tcW w:w="2552" w:type="dxa"/>
            <w:tcBorders>
              <w:top w:val="nil"/>
              <w:left w:val="nil"/>
              <w:bottom w:val="single" w:sz="4" w:space="0" w:color="auto"/>
              <w:right w:val="single" w:sz="4" w:space="0" w:color="auto"/>
            </w:tcBorders>
            <w:shd w:val="clear" w:color="auto" w:fill="auto"/>
            <w:noWrap/>
            <w:vAlign w:val="bottom"/>
            <w:hideMark/>
          </w:tcPr>
          <w:p w14:paraId="1C0E4DFA" w14:textId="77777777" w:rsidR="00A33BBC" w:rsidRPr="00365E59" w:rsidRDefault="00A33BBC" w:rsidP="00F10A9D">
            <w:pPr>
              <w:spacing w:before="0" w:after="0" w:line="240" w:lineRule="auto"/>
              <w:jc w:val="righ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10,12</w:t>
            </w:r>
          </w:p>
        </w:tc>
        <w:tc>
          <w:tcPr>
            <w:tcW w:w="1843" w:type="dxa"/>
            <w:tcBorders>
              <w:top w:val="nil"/>
              <w:left w:val="nil"/>
              <w:bottom w:val="single" w:sz="4" w:space="0" w:color="auto"/>
              <w:right w:val="single" w:sz="4" w:space="0" w:color="auto"/>
            </w:tcBorders>
            <w:shd w:val="clear" w:color="auto" w:fill="auto"/>
            <w:hideMark/>
          </w:tcPr>
          <w:p w14:paraId="6BD21F19" w14:textId="77777777" w:rsidR="00A33BBC" w:rsidRPr="00365E59" w:rsidRDefault="00A33BBC" w:rsidP="00F10A9D">
            <w:pPr>
              <w:spacing w:before="0" w:after="0" w:line="240" w:lineRule="auto"/>
              <w:jc w:val="righ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305</w:t>
            </w:r>
          </w:p>
        </w:tc>
        <w:tc>
          <w:tcPr>
            <w:tcW w:w="2409" w:type="dxa"/>
            <w:tcBorders>
              <w:top w:val="nil"/>
              <w:left w:val="nil"/>
              <w:bottom w:val="single" w:sz="4" w:space="0" w:color="auto"/>
              <w:right w:val="single" w:sz="4" w:space="0" w:color="auto"/>
            </w:tcBorders>
            <w:shd w:val="clear" w:color="auto" w:fill="auto"/>
            <w:hideMark/>
          </w:tcPr>
          <w:p w14:paraId="76FFF385" w14:textId="77777777" w:rsidR="00A33BBC" w:rsidRPr="00365E59" w:rsidRDefault="00A33BBC" w:rsidP="00F10A9D">
            <w:pPr>
              <w:spacing w:before="0" w:after="0" w:line="240" w:lineRule="auto"/>
              <w:jc w:val="righ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33,18</w:t>
            </w:r>
          </w:p>
        </w:tc>
      </w:tr>
      <w:tr w:rsidR="00A33BBC" w:rsidRPr="00365E59" w14:paraId="09111022" w14:textId="77777777" w:rsidTr="00F10A9D">
        <w:trPr>
          <w:trHeight w:val="300"/>
        </w:trPr>
        <w:tc>
          <w:tcPr>
            <w:tcW w:w="1706" w:type="dxa"/>
            <w:tcBorders>
              <w:top w:val="nil"/>
              <w:left w:val="single" w:sz="4" w:space="0" w:color="auto"/>
              <w:bottom w:val="single" w:sz="4" w:space="0" w:color="auto"/>
              <w:right w:val="single" w:sz="4" w:space="0" w:color="auto"/>
            </w:tcBorders>
            <w:shd w:val="clear" w:color="auto" w:fill="auto"/>
            <w:vAlign w:val="bottom"/>
            <w:hideMark/>
          </w:tcPr>
          <w:p w14:paraId="0BD3808D" w14:textId="77777777" w:rsidR="00A33BBC" w:rsidRPr="00365E59" w:rsidRDefault="00A33BBC" w:rsidP="00F10A9D">
            <w:pPr>
              <w:spacing w:before="0" w:after="0" w:line="240" w:lineRule="auto"/>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OP Z</w:t>
            </w:r>
          </w:p>
        </w:tc>
        <w:tc>
          <w:tcPr>
            <w:tcW w:w="2552" w:type="dxa"/>
            <w:tcBorders>
              <w:top w:val="nil"/>
              <w:left w:val="nil"/>
              <w:bottom w:val="single" w:sz="4" w:space="0" w:color="auto"/>
              <w:right w:val="single" w:sz="4" w:space="0" w:color="auto"/>
            </w:tcBorders>
            <w:shd w:val="clear" w:color="auto" w:fill="auto"/>
            <w:noWrap/>
            <w:vAlign w:val="bottom"/>
            <w:hideMark/>
          </w:tcPr>
          <w:p w14:paraId="4BF74ABC" w14:textId="77777777" w:rsidR="00A33BBC" w:rsidRPr="00365E59" w:rsidRDefault="00A33BBC" w:rsidP="00F10A9D">
            <w:pPr>
              <w:spacing w:before="0" w:after="0" w:line="240" w:lineRule="auto"/>
              <w:jc w:val="righ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0,45</w:t>
            </w:r>
          </w:p>
        </w:tc>
        <w:tc>
          <w:tcPr>
            <w:tcW w:w="1843" w:type="dxa"/>
            <w:tcBorders>
              <w:top w:val="nil"/>
              <w:left w:val="nil"/>
              <w:bottom w:val="single" w:sz="4" w:space="0" w:color="auto"/>
              <w:right w:val="single" w:sz="4" w:space="0" w:color="auto"/>
            </w:tcBorders>
            <w:shd w:val="clear" w:color="auto" w:fill="auto"/>
            <w:hideMark/>
          </w:tcPr>
          <w:p w14:paraId="68FAD9E6" w14:textId="77777777" w:rsidR="00A33BBC" w:rsidRPr="00365E59" w:rsidRDefault="00A33BBC" w:rsidP="00F10A9D">
            <w:pPr>
              <w:spacing w:before="0" w:after="0" w:line="240" w:lineRule="auto"/>
              <w:jc w:val="righ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38</w:t>
            </w:r>
          </w:p>
        </w:tc>
        <w:tc>
          <w:tcPr>
            <w:tcW w:w="2409" w:type="dxa"/>
            <w:tcBorders>
              <w:top w:val="nil"/>
              <w:left w:val="nil"/>
              <w:bottom w:val="single" w:sz="4" w:space="0" w:color="auto"/>
              <w:right w:val="single" w:sz="4" w:space="0" w:color="auto"/>
            </w:tcBorders>
            <w:shd w:val="clear" w:color="auto" w:fill="auto"/>
            <w:hideMark/>
          </w:tcPr>
          <w:p w14:paraId="7A8630F5" w14:textId="77777777" w:rsidR="00A33BBC" w:rsidRPr="00365E59" w:rsidRDefault="00A33BBC" w:rsidP="00F10A9D">
            <w:pPr>
              <w:spacing w:before="0" w:after="0" w:line="240" w:lineRule="auto"/>
              <w:jc w:val="right"/>
              <w:rPr>
                <w:rFonts w:eastAsia="Times New Roman" w:cs="Calibri"/>
                <w:color w:val="000000"/>
                <w:spacing w:val="0"/>
                <w:sz w:val="20"/>
                <w:lang w:eastAsia="cs-CZ" w:bidi="ar-SA"/>
              </w:rPr>
            </w:pPr>
            <w:r w:rsidRPr="00365E59">
              <w:rPr>
                <w:rFonts w:eastAsia="Times New Roman" w:cs="Calibri"/>
                <w:color w:val="000000"/>
                <w:spacing w:val="0"/>
                <w:sz w:val="20"/>
                <w:lang w:eastAsia="cs-CZ" w:bidi="ar-SA"/>
              </w:rPr>
              <w:t>11,84</w:t>
            </w:r>
          </w:p>
        </w:tc>
      </w:tr>
      <w:tr w:rsidR="00A33BBC" w:rsidRPr="00365E59" w14:paraId="3E33590A" w14:textId="77777777" w:rsidTr="00F10A9D">
        <w:trPr>
          <w:trHeight w:val="300"/>
        </w:trPr>
        <w:tc>
          <w:tcPr>
            <w:tcW w:w="1706" w:type="dxa"/>
            <w:tcBorders>
              <w:top w:val="nil"/>
              <w:left w:val="single" w:sz="4" w:space="0" w:color="auto"/>
              <w:bottom w:val="single" w:sz="4" w:space="0" w:color="auto"/>
              <w:right w:val="single" w:sz="4" w:space="0" w:color="auto"/>
            </w:tcBorders>
            <w:shd w:val="clear" w:color="auto" w:fill="auto"/>
            <w:hideMark/>
          </w:tcPr>
          <w:p w14:paraId="6EA495D5" w14:textId="77777777" w:rsidR="00A33BBC" w:rsidRPr="00365E59" w:rsidRDefault="00A33BBC" w:rsidP="00F10A9D">
            <w:pPr>
              <w:spacing w:before="0" w:after="0" w:line="240" w:lineRule="auto"/>
              <w:jc w:val="left"/>
              <w:rPr>
                <w:rFonts w:eastAsia="Times New Roman" w:cs="Calibri"/>
                <w:b/>
                <w:bCs/>
                <w:color w:val="000000"/>
                <w:spacing w:val="0"/>
                <w:sz w:val="20"/>
                <w:lang w:eastAsia="cs-CZ" w:bidi="ar-SA"/>
              </w:rPr>
            </w:pPr>
            <w:r w:rsidRPr="00365E59">
              <w:rPr>
                <w:rFonts w:eastAsia="Times New Roman" w:cs="Calibri"/>
                <w:b/>
                <w:bCs/>
                <w:color w:val="000000"/>
                <w:spacing w:val="0"/>
                <w:sz w:val="20"/>
                <w:lang w:eastAsia="cs-CZ" w:bidi="ar-SA"/>
              </w:rPr>
              <w:t>RIS3</w:t>
            </w:r>
          </w:p>
        </w:tc>
        <w:tc>
          <w:tcPr>
            <w:tcW w:w="2552" w:type="dxa"/>
            <w:tcBorders>
              <w:top w:val="nil"/>
              <w:left w:val="nil"/>
              <w:bottom w:val="single" w:sz="4" w:space="0" w:color="auto"/>
              <w:right w:val="single" w:sz="4" w:space="0" w:color="auto"/>
            </w:tcBorders>
            <w:shd w:val="clear" w:color="auto" w:fill="auto"/>
            <w:hideMark/>
          </w:tcPr>
          <w:p w14:paraId="3B14F009" w14:textId="77777777" w:rsidR="00A33BBC" w:rsidRPr="00365E59" w:rsidRDefault="00A33BBC" w:rsidP="00F10A9D">
            <w:pPr>
              <w:spacing w:before="0" w:after="0" w:line="240" w:lineRule="auto"/>
              <w:jc w:val="right"/>
              <w:rPr>
                <w:rFonts w:eastAsia="Times New Roman" w:cs="Calibri"/>
                <w:b/>
                <w:bCs/>
                <w:color w:val="000000"/>
                <w:spacing w:val="0"/>
                <w:sz w:val="20"/>
                <w:lang w:eastAsia="cs-CZ" w:bidi="ar-SA"/>
              </w:rPr>
            </w:pPr>
            <w:r w:rsidRPr="00365E59">
              <w:rPr>
                <w:rFonts w:eastAsia="Times New Roman" w:cs="Calibri"/>
                <w:b/>
                <w:bCs/>
                <w:color w:val="000000"/>
                <w:spacing w:val="0"/>
                <w:sz w:val="20"/>
                <w:lang w:eastAsia="cs-CZ" w:bidi="ar-SA"/>
              </w:rPr>
              <w:t>103,89</w:t>
            </w:r>
          </w:p>
        </w:tc>
        <w:tc>
          <w:tcPr>
            <w:tcW w:w="1843" w:type="dxa"/>
            <w:tcBorders>
              <w:top w:val="nil"/>
              <w:left w:val="nil"/>
              <w:bottom w:val="single" w:sz="4" w:space="0" w:color="auto"/>
              <w:right w:val="single" w:sz="4" w:space="0" w:color="auto"/>
            </w:tcBorders>
            <w:shd w:val="clear" w:color="auto" w:fill="auto"/>
            <w:hideMark/>
          </w:tcPr>
          <w:p w14:paraId="2D49533A" w14:textId="77777777" w:rsidR="00A33BBC" w:rsidRPr="00365E59" w:rsidRDefault="00A33BBC" w:rsidP="00F10A9D">
            <w:pPr>
              <w:spacing w:before="0" w:after="0" w:line="240" w:lineRule="auto"/>
              <w:jc w:val="right"/>
              <w:rPr>
                <w:rFonts w:eastAsia="Times New Roman" w:cs="Calibri"/>
                <w:b/>
                <w:bCs/>
                <w:color w:val="000000"/>
                <w:spacing w:val="0"/>
                <w:sz w:val="20"/>
                <w:lang w:eastAsia="cs-CZ" w:bidi="ar-SA"/>
              </w:rPr>
            </w:pPr>
            <w:r w:rsidRPr="00365E59">
              <w:rPr>
                <w:rFonts w:eastAsia="Times New Roman" w:cs="Calibri"/>
                <w:b/>
                <w:bCs/>
                <w:color w:val="000000"/>
                <w:spacing w:val="0"/>
                <w:sz w:val="20"/>
                <w:lang w:eastAsia="cs-CZ" w:bidi="ar-SA"/>
              </w:rPr>
              <w:t>10</w:t>
            </w:r>
            <w:r w:rsidR="00A649C6">
              <w:rPr>
                <w:rFonts w:eastAsia="Times New Roman" w:cs="Calibri"/>
                <w:b/>
                <w:bCs/>
                <w:color w:val="000000"/>
                <w:spacing w:val="0"/>
                <w:sz w:val="20"/>
                <w:lang w:eastAsia="cs-CZ" w:bidi="ar-SA"/>
              </w:rPr>
              <w:t xml:space="preserve"> </w:t>
            </w:r>
            <w:r w:rsidRPr="00365E59">
              <w:rPr>
                <w:rFonts w:eastAsia="Times New Roman" w:cs="Calibri"/>
                <w:b/>
                <w:bCs/>
                <w:color w:val="000000"/>
                <w:spacing w:val="0"/>
                <w:sz w:val="20"/>
                <w:lang w:eastAsia="cs-CZ" w:bidi="ar-SA"/>
              </w:rPr>
              <w:t>659</w:t>
            </w:r>
          </w:p>
        </w:tc>
        <w:tc>
          <w:tcPr>
            <w:tcW w:w="2409" w:type="dxa"/>
            <w:tcBorders>
              <w:top w:val="nil"/>
              <w:left w:val="nil"/>
              <w:bottom w:val="single" w:sz="4" w:space="0" w:color="auto"/>
              <w:right w:val="single" w:sz="4" w:space="0" w:color="auto"/>
            </w:tcBorders>
            <w:shd w:val="clear" w:color="auto" w:fill="auto"/>
            <w:hideMark/>
          </w:tcPr>
          <w:p w14:paraId="710A9642" w14:textId="77777777" w:rsidR="00A33BBC" w:rsidRPr="002776D7" w:rsidRDefault="00A33BBC" w:rsidP="00F10A9D">
            <w:pPr>
              <w:spacing w:before="0" w:after="0" w:line="240" w:lineRule="auto"/>
              <w:jc w:val="right"/>
              <w:rPr>
                <w:rFonts w:eastAsia="Times New Roman" w:cs="Calibri"/>
                <w:b/>
                <w:color w:val="000000"/>
                <w:spacing w:val="0"/>
                <w:sz w:val="20"/>
                <w:lang w:eastAsia="cs-CZ" w:bidi="ar-SA"/>
              </w:rPr>
            </w:pPr>
            <w:r w:rsidRPr="002776D7">
              <w:rPr>
                <w:rFonts w:eastAsia="Times New Roman" w:cs="Calibri"/>
                <w:b/>
                <w:color w:val="000000"/>
                <w:spacing w:val="0"/>
                <w:sz w:val="20"/>
                <w:lang w:eastAsia="cs-CZ" w:bidi="ar-SA"/>
              </w:rPr>
              <w:t>9,75</w:t>
            </w:r>
          </w:p>
        </w:tc>
      </w:tr>
    </w:tbl>
    <w:p w14:paraId="52EBA03C" w14:textId="77777777" w:rsidR="00A33BBC" w:rsidRPr="001B560C" w:rsidRDefault="00A33BBC" w:rsidP="00A33BBC">
      <w:pPr>
        <w:spacing w:before="0" w:after="0" w:line="240" w:lineRule="auto"/>
        <w:jc w:val="left"/>
        <w:rPr>
          <w:sz w:val="18"/>
          <w:szCs w:val="18"/>
          <w:lang w:bidi="ar-SA"/>
        </w:rPr>
      </w:pPr>
      <w:r w:rsidRPr="001B560C">
        <w:rPr>
          <w:sz w:val="18"/>
          <w:szCs w:val="18"/>
          <w:lang w:bidi="ar-SA"/>
        </w:rPr>
        <w:t xml:space="preserve">Zdroj: </w:t>
      </w:r>
      <w:r>
        <w:rPr>
          <w:sz w:val="18"/>
          <w:szCs w:val="18"/>
          <w:lang w:bidi="ar-SA"/>
        </w:rPr>
        <w:t>monitoring MPO, vlastní zpracování</w:t>
      </w:r>
    </w:p>
    <w:p w14:paraId="346F0234" w14:textId="77777777" w:rsidR="00A33BBC" w:rsidRDefault="00A33BBC" w:rsidP="00A33BBC">
      <w:pPr>
        <w:spacing w:before="0" w:after="0" w:line="240" w:lineRule="auto"/>
        <w:jc w:val="left"/>
        <w:rPr>
          <w:rFonts w:eastAsia="Times New Roman" w:cs="Calibri"/>
          <w:color w:val="000000"/>
          <w:spacing w:val="0"/>
          <w:szCs w:val="22"/>
          <w:lang w:eastAsia="cs-CZ" w:bidi="ar-SA"/>
        </w:rPr>
      </w:pPr>
    </w:p>
    <w:p w14:paraId="21B447A7" w14:textId="77777777" w:rsidR="00031F72" w:rsidRDefault="00031F72" w:rsidP="00A33BBC">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bookmarkStart w:id="57" w:name="_Toc4444514"/>
    </w:p>
    <w:p w14:paraId="1C2DA571" w14:textId="77777777" w:rsidR="007A2053" w:rsidRDefault="007A2053">
      <w:pPr>
        <w:spacing w:before="0" w:after="0" w:line="240" w:lineRule="auto"/>
        <w:jc w:val="left"/>
        <w:rPr>
          <w:rFonts w:asciiTheme="majorHAnsi" w:eastAsiaTheme="majorEastAsia" w:hAnsiTheme="majorHAnsi" w:cstheme="majorHAnsi"/>
          <w:i/>
          <w:caps/>
          <w:color w:val="004B8D"/>
          <w:spacing w:val="0"/>
          <w:szCs w:val="22"/>
          <w:lang w:bidi="ar-SA"/>
        </w:rPr>
      </w:pPr>
      <w:r>
        <w:rPr>
          <w:rFonts w:asciiTheme="majorHAnsi" w:eastAsiaTheme="majorEastAsia" w:hAnsiTheme="majorHAnsi" w:cstheme="majorHAnsi"/>
          <w:i/>
          <w:caps/>
          <w:color w:val="004B8D"/>
          <w:spacing w:val="0"/>
          <w:lang w:bidi="ar-SA"/>
        </w:rPr>
        <w:br w:type="page"/>
      </w:r>
    </w:p>
    <w:p w14:paraId="1E309660" w14:textId="77777777" w:rsidR="00A33BBC" w:rsidRPr="000B6205" w:rsidRDefault="00605061" w:rsidP="00A33BBC">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bookmarkStart w:id="58" w:name="_Toc5626458"/>
      <w:r>
        <w:rPr>
          <w:rFonts w:asciiTheme="majorHAnsi" w:eastAsiaTheme="majorEastAsia" w:hAnsiTheme="majorHAnsi" w:cstheme="majorHAnsi"/>
          <w:i/>
          <w:caps/>
          <w:color w:val="004B8D"/>
          <w:spacing w:val="0"/>
          <w:sz w:val="22"/>
          <w:lang w:bidi="ar-SA"/>
        </w:rPr>
        <w:lastRenderedPageBreak/>
        <w:t xml:space="preserve">4.1.2 </w:t>
      </w:r>
      <w:r w:rsidR="00A33BBC" w:rsidRPr="000B6205">
        <w:rPr>
          <w:rFonts w:asciiTheme="majorHAnsi" w:eastAsiaTheme="majorEastAsia" w:hAnsiTheme="majorHAnsi" w:cstheme="majorHAnsi"/>
          <w:i/>
          <w:caps/>
          <w:color w:val="004B8D"/>
          <w:spacing w:val="0"/>
          <w:sz w:val="22"/>
          <w:lang w:bidi="ar-SA"/>
        </w:rPr>
        <w:t>Příspěvek operačních programů k naplňování Národní RIS3 strategie</w:t>
      </w:r>
      <w:bookmarkEnd w:id="57"/>
      <w:bookmarkEnd w:id="58"/>
      <w:r w:rsidR="00A33BBC" w:rsidRPr="000B6205">
        <w:rPr>
          <w:rFonts w:asciiTheme="majorHAnsi" w:eastAsiaTheme="majorEastAsia" w:hAnsiTheme="majorHAnsi" w:cstheme="majorHAnsi"/>
          <w:i/>
          <w:caps/>
          <w:color w:val="004B8D"/>
          <w:spacing w:val="0"/>
          <w:sz w:val="22"/>
          <w:lang w:bidi="ar-SA"/>
        </w:rPr>
        <w:t xml:space="preserve"> </w:t>
      </w:r>
    </w:p>
    <w:p w14:paraId="4905AECD" w14:textId="77777777" w:rsidR="00A33BBC" w:rsidRDefault="00A33BBC" w:rsidP="00A33BBC">
      <w:pPr>
        <w:rPr>
          <w:lang w:bidi="ar-SA"/>
        </w:rPr>
      </w:pPr>
      <w:r w:rsidRPr="00365E59">
        <w:rPr>
          <w:rFonts w:eastAsia="Times New Roman" w:cs="Calibri"/>
          <w:color w:val="000000"/>
          <w:spacing w:val="-4"/>
          <w:szCs w:val="22"/>
          <w:lang w:eastAsia="cs-CZ" w:bidi="ar-SA"/>
        </w:rPr>
        <w:t xml:space="preserve">Plnění finančního plánu Národní RIS3 strategie v jednotlivých </w:t>
      </w:r>
      <w:r w:rsidRPr="008F3033">
        <w:rPr>
          <w:rFonts w:eastAsia="Times New Roman" w:cs="Calibri"/>
          <w:color w:val="000000"/>
          <w:spacing w:val="-4"/>
          <w:szCs w:val="22"/>
          <w:lang w:eastAsia="cs-CZ" w:bidi="ar-SA"/>
        </w:rPr>
        <w:t xml:space="preserve">klíčových </w:t>
      </w:r>
      <w:r w:rsidRPr="00365E59">
        <w:rPr>
          <w:rFonts w:eastAsia="Times New Roman" w:cs="Calibri"/>
          <w:color w:val="000000"/>
          <w:spacing w:val="-4"/>
          <w:szCs w:val="22"/>
          <w:lang w:eastAsia="cs-CZ" w:bidi="ar-SA"/>
        </w:rPr>
        <w:t xml:space="preserve">oblastech změn </w:t>
      </w:r>
      <w:r w:rsidR="009E5469">
        <w:rPr>
          <w:rFonts w:eastAsia="Times New Roman" w:cs="Calibri"/>
          <w:color w:val="000000"/>
          <w:spacing w:val="-4"/>
          <w:szCs w:val="22"/>
          <w:lang w:eastAsia="cs-CZ" w:bidi="ar-SA"/>
        </w:rPr>
        <w:t xml:space="preserve">z prostředků alokovaných z operačních programů k </w:t>
      </w:r>
      <w:r w:rsidRPr="00365E59">
        <w:rPr>
          <w:rFonts w:eastAsia="Times New Roman" w:cs="Calibri"/>
          <w:color w:val="000000"/>
          <w:spacing w:val="-4"/>
          <w:szCs w:val="22"/>
          <w:lang w:eastAsia="cs-CZ" w:bidi="ar-SA"/>
        </w:rPr>
        <w:t>10/2018</w:t>
      </w:r>
      <w:r>
        <w:rPr>
          <w:rFonts w:eastAsia="Times New Roman" w:cs="Calibri"/>
          <w:color w:val="000000"/>
          <w:spacing w:val="-4"/>
          <w:szCs w:val="22"/>
          <w:lang w:eastAsia="cs-CZ" w:bidi="ar-SA"/>
        </w:rPr>
        <w:t xml:space="preserve"> je zřejmé z následujícího grafu. </w:t>
      </w:r>
    </w:p>
    <w:p w14:paraId="7A0FC4B6" w14:textId="77777777" w:rsidR="00A33BBC" w:rsidRDefault="00A33BBC" w:rsidP="00A33BBC">
      <w:pPr>
        <w:spacing w:before="0" w:after="0" w:line="240" w:lineRule="auto"/>
        <w:jc w:val="left"/>
        <w:rPr>
          <w:rFonts w:eastAsia="Times New Roman" w:cs="Calibri"/>
          <w:b/>
          <w:color w:val="000000"/>
          <w:spacing w:val="0"/>
          <w:szCs w:val="22"/>
          <w:lang w:eastAsia="cs-CZ" w:bidi="ar-SA"/>
        </w:rPr>
      </w:pPr>
      <w:bookmarkStart w:id="59" w:name="_Toc5626492"/>
      <w:r w:rsidRPr="00570F07">
        <w:rPr>
          <w:b/>
          <w:szCs w:val="22"/>
        </w:rPr>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9</w:t>
      </w:r>
      <w:r w:rsidR="008A090D" w:rsidRPr="00570F07">
        <w:rPr>
          <w:b/>
          <w:szCs w:val="22"/>
        </w:rPr>
        <w:fldChar w:fldCharType="end"/>
      </w:r>
      <w:r w:rsidRPr="00570F07">
        <w:rPr>
          <w:b/>
          <w:szCs w:val="22"/>
        </w:rPr>
        <w:t xml:space="preserve"> </w:t>
      </w:r>
      <w:r>
        <w:rPr>
          <w:b/>
          <w:szCs w:val="22"/>
        </w:rPr>
        <w:t>–</w:t>
      </w:r>
      <w:r w:rsidRPr="00570F07">
        <w:rPr>
          <w:b/>
          <w:szCs w:val="22"/>
        </w:rPr>
        <w:t xml:space="preserve"> </w:t>
      </w:r>
      <w:r w:rsidRPr="00513319">
        <w:rPr>
          <w:rFonts w:eastAsia="Times New Roman" w:cs="Calibri"/>
          <w:color w:val="000000"/>
          <w:spacing w:val="0"/>
          <w:szCs w:val="22"/>
          <w:lang w:eastAsia="cs-CZ" w:bidi="ar-SA"/>
        </w:rPr>
        <w:t>Financování klíčových oblastí změn v operačních programech k 10/2018</w:t>
      </w:r>
      <w:bookmarkEnd w:id="59"/>
    </w:p>
    <w:p w14:paraId="49FA7CF1" w14:textId="77777777" w:rsidR="00A33BBC" w:rsidRDefault="00A33BBC" w:rsidP="00A33BBC">
      <w:pPr>
        <w:spacing w:before="0" w:after="0" w:line="240" w:lineRule="auto"/>
        <w:jc w:val="left"/>
        <w:rPr>
          <w:rFonts w:eastAsia="Times New Roman" w:cs="Calibri"/>
          <w:color w:val="000000"/>
          <w:spacing w:val="0"/>
          <w:szCs w:val="22"/>
          <w:lang w:eastAsia="cs-CZ" w:bidi="ar-SA"/>
        </w:rPr>
      </w:pPr>
    </w:p>
    <w:p w14:paraId="29980916" w14:textId="77777777" w:rsidR="00A33BBC" w:rsidRDefault="00A33BBC" w:rsidP="00A33BBC">
      <w:pPr>
        <w:spacing w:before="0" w:after="0" w:line="240" w:lineRule="auto"/>
        <w:jc w:val="left"/>
        <w:rPr>
          <w:lang w:bidi="ar-SA"/>
        </w:rPr>
      </w:pPr>
      <w:r w:rsidRPr="00365E59">
        <w:rPr>
          <w:noProof/>
          <w:lang w:eastAsia="cs-CZ" w:bidi="ar-SA"/>
        </w:rPr>
        <w:drawing>
          <wp:inline distT="0" distB="0" distL="0" distR="0" wp14:anchorId="325F37C6" wp14:editId="09EB6294">
            <wp:extent cx="5399405" cy="2926222"/>
            <wp:effectExtent l="19050" t="0" r="0" b="0"/>
            <wp:docPr id="2062"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srcRect/>
                    <a:stretch>
                      <a:fillRect/>
                    </a:stretch>
                  </pic:blipFill>
                  <pic:spPr bwMode="auto">
                    <a:xfrm>
                      <a:off x="0" y="0"/>
                      <a:ext cx="5399405" cy="2926222"/>
                    </a:xfrm>
                    <a:prstGeom prst="rect">
                      <a:avLst/>
                    </a:prstGeom>
                    <a:noFill/>
                    <a:ln w="9525">
                      <a:noFill/>
                      <a:miter lim="800000"/>
                      <a:headEnd/>
                      <a:tailEnd/>
                    </a:ln>
                  </pic:spPr>
                </pic:pic>
              </a:graphicData>
            </a:graphic>
          </wp:inline>
        </w:drawing>
      </w:r>
    </w:p>
    <w:p w14:paraId="48A15B2C" w14:textId="77777777" w:rsidR="00A33BBC" w:rsidRPr="001B560C" w:rsidRDefault="00A33BBC" w:rsidP="00A33BBC">
      <w:pPr>
        <w:spacing w:before="0" w:after="0" w:line="240" w:lineRule="auto"/>
        <w:jc w:val="left"/>
        <w:rPr>
          <w:sz w:val="18"/>
          <w:szCs w:val="18"/>
          <w:lang w:bidi="ar-SA"/>
        </w:rPr>
      </w:pPr>
      <w:r w:rsidRPr="001B560C">
        <w:rPr>
          <w:sz w:val="18"/>
          <w:szCs w:val="18"/>
          <w:lang w:bidi="ar-SA"/>
        </w:rPr>
        <w:t xml:space="preserve">Zdroj: </w:t>
      </w:r>
      <w:r>
        <w:rPr>
          <w:sz w:val="18"/>
          <w:szCs w:val="18"/>
          <w:lang w:bidi="ar-SA"/>
        </w:rPr>
        <w:t>monitoring MPO, vlastní zpracování</w:t>
      </w:r>
    </w:p>
    <w:p w14:paraId="51D49605" w14:textId="77777777" w:rsidR="005D2CEA" w:rsidRDefault="005D2CEA" w:rsidP="00F97C7B">
      <w:pPr>
        <w:spacing w:before="120" w:after="120"/>
        <w:rPr>
          <w:rFonts w:eastAsia="Times New Roman" w:cs="Calibri"/>
          <w:color w:val="000000"/>
          <w:spacing w:val="-4"/>
          <w:szCs w:val="22"/>
          <w:lang w:eastAsia="cs-CZ" w:bidi="ar-SA"/>
        </w:rPr>
      </w:pPr>
    </w:p>
    <w:p w14:paraId="71337A14" w14:textId="77777777" w:rsidR="00A33BBC" w:rsidRPr="001B560C" w:rsidRDefault="00A33BBC" w:rsidP="00F97C7B">
      <w:pPr>
        <w:spacing w:before="120" w:after="120"/>
        <w:rPr>
          <w:rFonts w:eastAsia="Times New Roman" w:cs="Calibri"/>
          <w:color w:val="000000"/>
          <w:spacing w:val="-4"/>
          <w:szCs w:val="22"/>
          <w:lang w:eastAsia="cs-CZ" w:bidi="ar-SA"/>
        </w:rPr>
      </w:pPr>
      <w:r w:rsidRPr="001B560C">
        <w:rPr>
          <w:rFonts w:eastAsia="Times New Roman" w:cs="Calibri"/>
          <w:color w:val="000000"/>
          <w:spacing w:val="-4"/>
          <w:szCs w:val="22"/>
          <w:lang w:eastAsia="cs-CZ" w:bidi="ar-SA"/>
        </w:rPr>
        <w:t xml:space="preserve">Nejvyšší míra naplnění plánovaných finančních prostředků byla dosažena u klíčové oblasti změn C. Ekonomické přínosy VaVaI (přeplnění na 120 %) a nejnižší u klíčové oblasti změn F. Sociální / společenské výzvy (22 %). Obě tyto oblasti jsou však z hlediska plánovaných finančních objemů ve srovnání s ostatními klíčovými oblastmi změn marginální. </w:t>
      </w:r>
      <w:r w:rsidR="00B40A98">
        <w:rPr>
          <w:rFonts w:eastAsia="Times New Roman" w:cs="Calibri"/>
          <w:color w:val="000000"/>
          <w:spacing w:val="-4"/>
          <w:szCs w:val="22"/>
          <w:lang w:eastAsia="cs-CZ" w:bidi="ar-SA"/>
        </w:rPr>
        <w:t>F</w:t>
      </w:r>
      <w:r w:rsidRPr="001B560C">
        <w:rPr>
          <w:rFonts w:eastAsia="Times New Roman" w:cs="Calibri"/>
          <w:color w:val="000000"/>
          <w:spacing w:val="-4"/>
          <w:szCs w:val="22"/>
          <w:lang w:eastAsia="cs-CZ" w:bidi="ar-SA"/>
        </w:rPr>
        <w:t>inancován</w:t>
      </w:r>
      <w:r>
        <w:rPr>
          <w:rFonts w:eastAsia="Times New Roman" w:cs="Calibri"/>
          <w:color w:val="000000"/>
          <w:spacing w:val="-4"/>
          <w:szCs w:val="22"/>
          <w:lang w:eastAsia="cs-CZ" w:bidi="ar-SA"/>
        </w:rPr>
        <w:t xml:space="preserve">í </w:t>
      </w:r>
      <w:r w:rsidR="00B40A98">
        <w:rPr>
          <w:rFonts w:eastAsia="Times New Roman" w:cs="Calibri"/>
          <w:color w:val="000000"/>
          <w:spacing w:val="-4"/>
          <w:szCs w:val="22"/>
          <w:lang w:eastAsia="cs-CZ" w:bidi="ar-SA"/>
        </w:rPr>
        <w:t xml:space="preserve">zbývajících klíčových oblastí změn </w:t>
      </w:r>
      <w:r>
        <w:rPr>
          <w:rFonts w:eastAsia="Times New Roman" w:cs="Calibri"/>
          <w:color w:val="000000"/>
          <w:spacing w:val="-4"/>
          <w:szCs w:val="22"/>
          <w:lang w:eastAsia="cs-CZ" w:bidi="ar-SA"/>
        </w:rPr>
        <w:t>se pohybuje v rozmezí 40 – 70 </w:t>
      </w:r>
      <w:r w:rsidRPr="001B560C">
        <w:rPr>
          <w:rFonts w:eastAsia="Times New Roman" w:cs="Calibri"/>
          <w:color w:val="000000"/>
          <w:spacing w:val="-4"/>
          <w:szCs w:val="22"/>
          <w:lang w:eastAsia="cs-CZ" w:bidi="ar-SA"/>
        </w:rPr>
        <w:t xml:space="preserve">% plánovaných finančních objemů. </w:t>
      </w:r>
    </w:p>
    <w:p w14:paraId="5EDF3BF6" w14:textId="12FDFC7B" w:rsidR="0093522F" w:rsidRDefault="00A33BBC" w:rsidP="00A33BBC">
      <w:pPr>
        <w:rPr>
          <w:rFonts w:eastAsia="Times New Roman" w:cs="Calibri"/>
          <w:color w:val="000000"/>
          <w:spacing w:val="-4"/>
          <w:szCs w:val="22"/>
          <w:lang w:eastAsia="cs-CZ" w:bidi="ar-SA"/>
        </w:rPr>
      </w:pPr>
      <w:r w:rsidRPr="007C0FF5">
        <w:rPr>
          <w:rFonts w:eastAsia="Times New Roman" w:cs="Calibri"/>
          <w:color w:val="000000"/>
          <w:spacing w:val="-4"/>
          <w:szCs w:val="22"/>
          <w:lang w:eastAsia="cs-CZ" w:bidi="ar-SA"/>
        </w:rPr>
        <w:t>S ohledem na pokročilou fázi realizace Národní RIS3 strategie lze vyslovit obavu, zda bude finanční plán u</w:t>
      </w:r>
      <w:r w:rsidR="005D2CEA">
        <w:rPr>
          <w:rFonts w:eastAsia="Times New Roman" w:cs="Calibri"/>
          <w:color w:val="000000"/>
          <w:spacing w:val="-4"/>
          <w:szCs w:val="22"/>
          <w:lang w:eastAsia="cs-CZ" w:bidi="ar-SA"/>
        </w:rPr>
        <w:t> </w:t>
      </w:r>
      <w:r w:rsidRPr="001B560C">
        <w:rPr>
          <w:rFonts w:eastAsia="Times New Roman" w:cs="Calibri"/>
          <w:color w:val="000000"/>
          <w:spacing w:val="-4"/>
          <w:szCs w:val="22"/>
          <w:lang w:eastAsia="cs-CZ" w:bidi="ar-SA"/>
        </w:rPr>
        <w:t xml:space="preserve">klíčových změn nedosahujících k 10/2018 ani 50 % čerpání naplněn. </w:t>
      </w:r>
      <w:r w:rsidR="0093522F">
        <w:rPr>
          <w:rFonts w:eastAsia="Times New Roman" w:cs="Calibri"/>
          <w:color w:val="000000"/>
          <w:spacing w:val="-4"/>
          <w:szCs w:val="22"/>
          <w:lang w:eastAsia="cs-CZ" w:bidi="ar-SA"/>
        </w:rPr>
        <w:t xml:space="preserve">Alokace finančních prostředků </w:t>
      </w:r>
      <w:r w:rsidR="00CD498B">
        <w:rPr>
          <w:rFonts w:eastAsia="Times New Roman" w:cs="Calibri"/>
          <w:color w:val="000000"/>
          <w:spacing w:val="-4"/>
          <w:szCs w:val="22"/>
          <w:lang w:eastAsia="cs-CZ" w:bidi="ar-SA"/>
        </w:rPr>
        <w:t xml:space="preserve">z operačních programů </w:t>
      </w:r>
      <w:r w:rsidR="0093522F">
        <w:rPr>
          <w:rFonts w:eastAsia="Times New Roman" w:cs="Calibri"/>
          <w:color w:val="000000"/>
          <w:spacing w:val="-4"/>
          <w:szCs w:val="22"/>
          <w:lang w:eastAsia="cs-CZ" w:bidi="ar-SA"/>
        </w:rPr>
        <w:t xml:space="preserve">na jednotlivé cíle Národní RIS3 strategie, </w:t>
      </w:r>
      <w:r w:rsidR="00687B5C">
        <w:rPr>
          <w:rFonts w:eastAsia="Times New Roman" w:cs="Calibri"/>
          <w:color w:val="000000"/>
          <w:spacing w:val="-4"/>
          <w:szCs w:val="22"/>
          <w:lang w:eastAsia="cs-CZ" w:bidi="ar-SA"/>
        </w:rPr>
        <w:t xml:space="preserve">znalostní domény a aplikační odvětví je detailně rozvedena v Příloze </w:t>
      </w:r>
      <w:r w:rsidR="00CD498B">
        <w:rPr>
          <w:rFonts w:eastAsia="Times New Roman" w:cs="Calibri"/>
          <w:color w:val="000000"/>
          <w:spacing w:val="-4"/>
          <w:szCs w:val="22"/>
          <w:lang w:eastAsia="cs-CZ" w:bidi="ar-SA"/>
        </w:rPr>
        <w:t xml:space="preserve"> </w:t>
      </w:r>
      <w:r w:rsidR="00F659D4">
        <w:rPr>
          <w:rFonts w:eastAsia="Times New Roman" w:cs="Calibri"/>
          <w:color w:val="000000"/>
          <w:spacing w:val="-4"/>
          <w:szCs w:val="22"/>
          <w:lang w:eastAsia="cs-CZ" w:bidi="ar-SA"/>
        </w:rPr>
        <w:t>6.</w:t>
      </w:r>
    </w:p>
    <w:p w14:paraId="350C3F62" w14:textId="77777777" w:rsidR="008A4147" w:rsidRDefault="008A4147" w:rsidP="00A33BBC">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p>
    <w:p w14:paraId="31E86579" w14:textId="77777777" w:rsidR="00A33BBC" w:rsidRPr="00023C75" w:rsidRDefault="00605061" w:rsidP="00A33BBC">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bookmarkStart w:id="60" w:name="_Toc5626459"/>
      <w:r>
        <w:rPr>
          <w:rFonts w:asciiTheme="majorHAnsi" w:eastAsiaTheme="majorEastAsia" w:hAnsiTheme="majorHAnsi" w:cstheme="majorHAnsi"/>
          <w:i/>
          <w:caps/>
          <w:color w:val="004B8D"/>
          <w:spacing w:val="0"/>
          <w:sz w:val="22"/>
          <w:lang w:bidi="ar-SA"/>
        </w:rPr>
        <w:t xml:space="preserve">4.1.3 </w:t>
      </w:r>
      <w:r w:rsidR="00A33BBC">
        <w:rPr>
          <w:rFonts w:asciiTheme="majorHAnsi" w:eastAsiaTheme="majorEastAsia" w:hAnsiTheme="majorHAnsi" w:cstheme="majorHAnsi"/>
          <w:i/>
          <w:caps/>
          <w:color w:val="004B8D"/>
          <w:spacing w:val="0"/>
          <w:sz w:val="22"/>
          <w:lang w:bidi="ar-SA"/>
        </w:rPr>
        <w:t>NÁRODNÍ PROGRAMY</w:t>
      </w:r>
      <w:r w:rsidR="00A33BBC" w:rsidRPr="00023C75">
        <w:rPr>
          <w:rFonts w:asciiTheme="majorHAnsi" w:eastAsiaTheme="majorEastAsia" w:hAnsiTheme="majorHAnsi" w:cstheme="majorHAnsi"/>
          <w:i/>
          <w:caps/>
          <w:color w:val="004B8D"/>
          <w:spacing w:val="0"/>
          <w:sz w:val="22"/>
          <w:lang w:bidi="ar-SA"/>
        </w:rPr>
        <w:t xml:space="preserve"> </w:t>
      </w:r>
      <w:r w:rsidR="00A33BBC">
        <w:rPr>
          <w:rFonts w:asciiTheme="majorHAnsi" w:eastAsiaTheme="majorEastAsia" w:hAnsiTheme="majorHAnsi" w:cstheme="majorHAnsi"/>
          <w:i/>
          <w:caps/>
          <w:color w:val="004B8D"/>
          <w:spacing w:val="0"/>
          <w:sz w:val="22"/>
          <w:lang w:bidi="ar-SA"/>
        </w:rPr>
        <w:t>PODPORY</w:t>
      </w:r>
      <w:bookmarkEnd w:id="60"/>
    </w:p>
    <w:p w14:paraId="3B89A8C0" w14:textId="77777777" w:rsidR="00A33BBC" w:rsidRPr="00FC358C" w:rsidRDefault="00B964EA" w:rsidP="00A33BBC">
      <w:pPr>
        <w:rPr>
          <w:lang w:bidi="ar-SA"/>
        </w:rPr>
      </w:pPr>
      <w:r>
        <w:rPr>
          <w:lang w:bidi="ar-SA"/>
        </w:rPr>
        <w:t>Na</w:t>
      </w:r>
      <w:r w:rsidR="00A33BBC">
        <w:rPr>
          <w:lang w:bidi="ar-SA"/>
        </w:rPr>
        <w:t xml:space="preserve"> financováni Národní RIS3 strategie </w:t>
      </w:r>
      <w:r>
        <w:rPr>
          <w:lang w:bidi="ar-SA"/>
        </w:rPr>
        <w:t>se podílí</w:t>
      </w:r>
      <w:r w:rsidR="00A33BBC">
        <w:rPr>
          <w:lang w:bidi="ar-SA"/>
        </w:rPr>
        <w:t xml:space="preserve"> </w:t>
      </w:r>
      <w:r w:rsidR="00F97C7B">
        <w:rPr>
          <w:lang w:bidi="ar-SA"/>
        </w:rPr>
        <w:t xml:space="preserve">také </w:t>
      </w:r>
      <w:r w:rsidR="00A33BBC">
        <w:rPr>
          <w:lang w:bidi="ar-SA"/>
        </w:rPr>
        <w:t>národní programy podpory, řízené TA</w:t>
      </w:r>
      <w:r w:rsidR="008A4147">
        <w:rPr>
          <w:lang w:bidi="ar-SA"/>
        </w:rPr>
        <w:t xml:space="preserve"> </w:t>
      </w:r>
      <w:r w:rsidR="00A33BBC">
        <w:rPr>
          <w:lang w:bidi="ar-SA"/>
        </w:rPr>
        <w:t xml:space="preserve">ČR </w:t>
      </w:r>
      <w:r w:rsidR="001D05F5">
        <w:rPr>
          <w:lang w:bidi="ar-SA"/>
        </w:rPr>
        <w:t xml:space="preserve">(Centra kompetence, Epsilon, Gama) </w:t>
      </w:r>
      <w:r w:rsidR="00A33BBC">
        <w:rPr>
          <w:lang w:bidi="ar-SA"/>
        </w:rPr>
        <w:t>a MPO</w:t>
      </w:r>
      <w:r w:rsidR="001D05F5">
        <w:rPr>
          <w:lang w:bidi="ar-SA"/>
        </w:rPr>
        <w:t xml:space="preserve"> (TRIO)</w:t>
      </w:r>
      <w:r w:rsidR="00A33BBC">
        <w:rPr>
          <w:lang w:bidi="ar-SA"/>
        </w:rPr>
        <w:t xml:space="preserve">. Celkový </w:t>
      </w:r>
      <w:r w:rsidR="008A4147">
        <w:rPr>
          <w:lang w:bidi="ar-SA"/>
        </w:rPr>
        <w:t xml:space="preserve">plánovaný </w:t>
      </w:r>
      <w:r w:rsidR="00A33BBC">
        <w:rPr>
          <w:lang w:bidi="ar-SA"/>
        </w:rPr>
        <w:t xml:space="preserve">objem </w:t>
      </w:r>
      <w:r w:rsidR="001D05F5">
        <w:rPr>
          <w:lang w:bidi="ar-SA"/>
        </w:rPr>
        <w:t xml:space="preserve">těchto programů </w:t>
      </w:r>
      <w:r w:rsidR="008A4147">
        <w:rPr>
          <w:lang w:bidi="ar-SA"/>
        </w:rPr>
        <w:t>činí</w:t>
      </w:r>
      <w:r w:rsidR="00A33BBC">
        <w:rPr>
          <w:lang w:bidi="ar-SA"/>
        </w:rPr>
        <w:t xml:space="preserve"> 9,85 mld. Kč, z toho v programech TA</w:t>
      </w:r>
      <w:r w:rsidR="008A4147">
        <w:rPr>
          <w:lang w:bidi="ar-SA"/>
        </w:rPr>
        <w:t xml:space="preserve"> </w:t>
      </w:r>
      <w:r w:rsidR="00A33BBC">
        <w:rPr>
          <w:lang w:bidi="ar-SA"/>
        </w:rPr>
        <w:t xml:space="preserve">ČR </w:t>
      </w:r>
      <w:r w:rsidR="008A4147">
        <w:rPr>
          <w:lang w:bidi="ar-SA"/>
        </w:rPr>
        <w:t xml:space="preserve">se jedná o </w:t>
      </w:r>
      <w:r w:rsidR="00A33BBC">
        <w:rPr>
          <w:lang w:bidi="ar-SA"/>
        </w:rPr>
        <w:t>7,08 mld. Kč a 2,77 mld. v programu MPO.</w:t>
      </w:r>
    </w:p>
    <w:p w14:paraId="2B1BA6C4" w14:textId="77777777" w:rsidR="007A2053" w:rsidRDefault="007A2053" w:rsidP="00A33BBC">
      <w:pPr>
        <w:spacing w:before="0" w:after="0" w:line="240" w:lineRule="auto"/>
        <w:rPr>
          <w:rFonts w:cs="Arial-ItalicMT"/>
          <w:b/>
          <w:iCs/>
          <w:szCs w:val="22"/>
        </w:rPr>
      </w:pPr>
    </w:p>
    <w:p w14:paraId="5ED97EF3" w14:textId="77777777" w:rsidR="007A2053" w:rsidRDefault="007A2053" w:rsidP="00A33BBC">
      <w:pPr>
        <w:spacing w:before="0" w:after="0" w:line="240" w:lineRule="auto"/>
        <w:rPr>
          <w:rFonts w:cs="Arial-ItalicMT"/>
          <w:b/>
          <w:iCs/>
          <w:szCs w:val="22"/>
        </w:rPr>
      </w:pPr>
    </w:p>
    <w:p w14:paraId="58E810A2" w14:textId="77777777" w:rsidR="007A2053" w:rsidRDefault="007A2053" w:rsidP="00A33BBC">
      <w:pPr>
        <w:spacing w:before="0" w:after="0" w:line="240" w:lineRule="auto"/>
        <w:rPr>
          <w:rFonts w:cs="Arial-ItalicMT"/>
          <w:b/>
          <w:iCs/>
          <w:szCs w:val="22"/>
        </w:rPr>
      </w:pPr>
    </w:p>
    <w:p w14:paraId="59D30751" w14:textId="77777777" w:rsidR="00A33BBC" w:rsidRDefault="00A33BBC" w:rsidP="00A33BBC">
      <w:pPr>
        <w:spacing w:before="0" w:after="0" w:line="240" w:lineRule="auto"/>
        <w:rPr>
          <w:rFonts w:eastAsia="Times New Roman" w:cs="Calibri"/>
          <w:i/>
          <w:color w:val="000000"/>
          <w:spacing w:val="0"/>
          <w:szCs w:val="22"/>
          <w:lang w:eastAsia="cs-CZ" w:bidi="ar-SA"/>
        </w:rPr>
      </w:pPr>
      <w:bookmarkStart w:id="61" w:name="_Toc5626521"/>
      <w:r w:rsidRPr="00EE5A5B">
        <w:rPr>
          <w:rFonts w:cs="Arial-ItalicMT"/>
          <w:b/>
          <w:iCs/>
          <w:szCs w:val="22"/>
        </w:rPr>
        <w:lastRenderedPageBreak/>
        <w:t xml:space="preserve">Tabulka č. </w:t>
      </w:r>
      <w:r w:rsidR="008A090D" w:rsidRPr="00EE5A5B">
        <w:rPr>
          <w:rFonts w:cs="Arial-ItalicMT"/>
          <w:b/>
          <w:iCs/>
          <w:szCs w:val="22"/>
        </w:rPr>
        <w:fldChar w:fldCharType="begin"/>
      </w:r>
      <w:r w:rsidRPr="00EE5A5B">
        <w:rPr>
          <w:rFonts w:cs="Arial-ItalicMT"/>
          <w:b/>
          <w:iCs/>
          <w:szCs w:val="22"/>
        </w:rPr>
        <w:instrText xml:space="preserve"> SEQ Tabulka_č._ \* ARABIC </w:instrText>
      </w:r>
      <w:r w:rsidR="008A090D" w:rsidRPr="00EE5A5B">
        <w:rPr>
          <w:rFonts w:cs="Arial-ItalicMT"/>
          <w:b/>
          <w:iCs/>
          <w:szCs w:val="22"/>
        </w:rPr>
        <w:fldChar w:fldCharType="separate"/>
      </w:r>
      <w:r w:rsidR="002309D5">
        <w:rPr>
          <w:rFonts w:cs="Arial-ItalicMT"/>
          <w:b/>
          <w:iCs/>
          <w:noProof/>
          <w:szCs w:val="22"/>
        </w:rPr>
        <w:t>12</w:t>
      </w:r>
      <w:r w:rsidR="008A090D" w:rsidRPr="00EE5A5B">
        <w:rPr>
          <w:rFonts w:cs="Arial-ItalicMT"/>
          <w:b/>
          <w:iCs/>
          <w:szCs w:val="22"/>
        </w:rPr>
        <w:fldChar w:fldCharType="end"/>
      </w:r>
      <w:r w:rsidRPr="00EE5A5B">
        <w:rPr>
          <w:rFonts w:cs="Arial-ItalicMT"/>
          <w:b/>
          <w:iCs/>
          <w:szCs w:val="22"/>
        </w:rPr>
        <w:t xml:space="preserve"> -</w:t>
      </w:r>
      <w:r w:rsidRPr="00D66402">
        <w:rPr>
          <w:rFonts w:cs="Arial-ItalicMT"/>
          <w:iCs/>
          <w:szCs w:val="22"/>
        </w:rPr>
        <w:t xml:space="preserve"> </w:t>
      </w:r>
      <w:r w:rsidRPr="00EE5A5B">
        <w:rPr>
          <w:rFonts w:eastAsia="Times New Roman" w:cs="Calibri"/>
          <w:i/>
          <w:color w:val="000000"/>
          <w:spacing w:val="0"/>
          <w:szCs w:val="22"/>
          <w:lang w:eastAsia="cs-CZ" w:bidi="ar-SA"/>
        </w:rPr>
        <w:t>Plánovan</w:t>
      </w:r>
      <w:r>
        <w:rPr>
          <w:rFonts w:eastAsia="Times New Roman" w:cs="Calibri"/>
          <w:i/>
          <w:color w:val="000000"/>
          <w:spacing w:val="0"/>
          <w:szCs w:val="22"/>
          <w:lang w:eastAsia="cs-CZ" w:bidi="ar-SA"/>
        </w:rPr>
        <w:t>á</w:t>
      </w:r>
      <w:r w:rsidRPr="00EE5A5B">
        <w:rPr>
          <w:rFonts w:eastAsia="Times New Roman" w:cs="Calibri"/>
          <w:i/>
          <w:color w:val="000000"/>
          <w:spacing w:val="0"/>
          <w:szCs w:val="22"/>
          <w:lang w:eastAsia="cs-CZ" w:bidi="ar-SA"/>
        </w:rPr>
        <w:t xml:space="preserve"> podpor</w:t>
      </w:r>
      <w:r>
        <w:rPr>
          <w:rFonts w:eastAsia="Times New Roman" w:cs="Calibri"/>
          <w:i/>
          <w:color w:val="000000"/>
          <w:spacing w:val="0"/>
          <w:szCs w:val="22"/>
          <w:lang w:eastAsia="cs-CZ" w:bidi="ar-SA"/>
        </w:rPr>
        <w:t>a</w:t>
      </w:r>
      <w:r w:rsidRPr="00EE5A5B">
        <w:rPr>
          <w:rFonts w:eastAsia="Times New Roman" w:cs="Calibri"/>
          <w:i/>
          <w:color w:val="000000"/>
          <w:spacing w:val="0"/>
          <w:szCs w:val="22"/>
          <w:lang w:eastAsia="cs-CZ" w:bidi="ar-SA"/>
        </w:rPr>
        <w:t xml:space="preserve"> Národní RIS3 strategie </w:t>
      </w:r>
      <w:r w:rsidR="001D05F5">
        <w:rPr>
          <w:rFonts w:eastAsia="Times New Roman" w:cs="Calibri"/>
          <w:i/>
          <w:color w:val="000000"/>
          <w:spacing w:val="0"/>
          <w:szCs w:val="22"/>
          <w:lang w:eastAsia="cs-CZ" w:bidi="ar-SA"/>
        </w:rPr>
        <w:t>z</w:t>
      </w:r>
      <w:r w:rsidRPr="009B2B8A">
        <w:rPr>
          <w:rFonts w:eastAsia="Times New Roman" w:cs="Calibri"/>
          <w:i/>
          <w:color w:val="000000"/>
          <w:spacing w:val="0"/>
          <w:szCs w:val="22"/>
          <w:lang w:eastAsia="cs-CZ" w:bidi="ar-SA"/>
        </w:rPr>
        <w:t xml:space="preserve"> národních program</w:t>
      </w:r>
      <w:r w:rsidR="001D05F5">
        <w:rPr>
          <w:rFonts w:eastAsia="Times New Roman" w:cs="Calibri"/>
          <w:i/>
          <w:color w:val="000000"/>
          <w:spacing w:val="0"/>
          <w:szCs w:val="22"/>
          <w:lang w:eastAsia="cs-CZ" w:bidi="ar-SA"/>
        </w:rPr>
        <w:t>ů</w:t>
      </w:r>
      <w:r w:rsidRPr="009B2B8A">
        <w:rPr>
          <w:rFonts w:eastAsia="Times New Roman" w:cs="Calibri"/>
          <w:i/>
          <w:color w:val="000000"/>
          <w:spacing w:val="0"/>
          <w:szCs w:val="22"/>
          <w:lang w:eastAsia="cs-CZ" w:bidi="ar-SA"/>
        </w:rPr>
        <w:t xml:space="preserve"> podpory</w:t>
      </w:r>
      <w:bookmarkEnd w:id="61"/>
    </w:p>
    <w:p w14:paraId="0FCCA0EB" w14:textId="77777777" w:rsidR="00A33BBC" w:rsidRPr="00BC08A7" w:rsidRDefault="00A33BBC" w:rsidP="00A33BBC">
      <w:pPr>
        <w:spacing w:before="0" w:after="0" w:line="240" w:lineRule="auto"/>
        <w:rPr>
          <w:rFonts w:eastAsia="Times New Roman" w:cs="Calibri"/>
          <w:color w:val="000000"/>
          <w:spacing w:val="0"/>
          <w:sz w:val="16"/>
          <w:szCs w:val="16"/>
          <w:lang w:eastAsia="cs-CZ" w:bidi="ar-SA"/>
        </w:rPr>
      </w:pPr>
    </w:p>
    <w:tbl>
      <w:tblPr>
        <w:tblW w:w="8515" w:type="dxa"/>
        <w:tblInd w:w="60" w:type="dxa"/>
        <w:tblCellMar>
          <w:left w:w="70" w:type="dxa"/>
          <w:right w:w="70" w:type="dxa"/>
        </w:tblCellMar>
        <w:tblLook w:val="04A0" w:firstRow="1" w:lastRow="0" w:firstColumn="1" w:lastColumn="0" w:noHBand="0" w:noVBand="1"/>
      </w:tblPr>
      <w:tblGrid>
        <w:gridCol w:w="3696"/>
        <w:gridCol w:w="2268"/>
        <w:gridCol w:w="2551"/>
      </w:tblGrid>
      <w:tr w:rsidR="00A33BBC" w:rsidRPr="00E50C80" w14:paraId="6057B2B0" w14:textId="77777777" w:rsidTr="00F10A9D">
        <w:trPr>
          <w:trHeight w:val="300"/>
        </w:trPr>
        <w:tc>
          <w:tcPr>
            <w:tcW w:w="3696" w:type="dxa"/>
            <w:tcBorders>
              <w:top w:val="single" w:sz="4" w:space="0" w:color="auto"/>
              <w:left w:val="single" w:sz="4" w:space="0" w:color="auto"/>
              <w:bottom w:val="single" w:sz="4" w:space="0" w:color="auto"/>
              <w:right w:val="single" w:sz="4" w:space="0" w:color="auto"/>
            </w:tcBorders>
            <w:shd w:val="clear" w:color="auto" w:fill="4F81BD"/>
            <w:hideMark/>
          </w:tcPr>
          <w:p w14:paraId="38461FD4" w14:textId="77777777" w:rsidR="00A33BBC" w:rsidRPr="00E50C80" w:rsidRDefault="00A33BBC" w:rsidP="00F10A9D">
            <w:pPr>
              <w:spacing w:before="120" w:after="120" w:line="240" w:lineRule="auto"/>
              <w:jc w:val="left"/>
              <w:rPr>
                <w:rFonts w:eastAsia="Times New Roman" w:cs="Calibri"/>
                <w:b/>
                <w:bCs/>
                <w:color w:val="FFFFFF" w:themeColor="background1"/>
                <w:spacing w:val="0"/>
                <w:sz w:val="20"/>
                <w:lang w:eastAsia="cs-CZ" w:bidi="ar-SA"/>
              </w:rPr>
            </w:pPr>
            <w:r w:rsidRPr="00E50C80">
              <w:rPr>
                <w:rFonts w:eastAsia="Times New Roman" w:cs="Calibri"/>
                <w:b/>
                <w:bCs/>
                <w:color w:val="FFFFFF" w:themeColor="background1"/>
                <w:spacing w:val="0"/>
                <w:sz w:val="20"/>
                <w:lang w:eastAsia="cs-CZ" w:bidi="ar-SA"/>
              </w:rPr>
              <w:t>Poskytovatel</w:t>
            </w:r>
          </w:p>
        </w:tc>
        <w:tc>
          <w:tcPr>
            <w:tcW w:w="2268" w:type="dxa"/>
            <w:tcBorders>
              <w:top w:val="single" w:sz="4" w:space="0" w:color="auto"/>
              <w:left w:val="single" w:sz="4" w:space="0" w:color="auto"/>
              <w:bottom w:val="single" w:sz="4" w:space="0" w:color="auto"/>
              <w:right w:val="single" w:sz="4" w:space="0" w:color="auto"/>
            </w:tcBorders>
            <w:shd w:val="clear" w:color="auto" w:fill="4F81BD"/>
            <w:hideMark/>
          </w:tcPr>
          <w:p w14:paraId="753FD44A" w14:textId="77777777" w:rsidR="00A33BBC" w:rsidRPr="00E50C80" w:rsidRDefault="00A33BBC" w:rsidP="00F10A9D">
            <w:pPr>
              <w:spacing w:before="120" w:after="120" w:line="240" w:lineRule="auto"/>
              <w:jc w:val="left"/>
              <w:rPr>
                <w:rFonts w:eastAsia="Times New Roman" w:cs="Calibri"/>
                <w:b/>
                <w:bCs/>
                <w:color w:val="FFFFFF" w:themeColor="background1"/>
                <w:spacing w:val="0"/>
                <w:sz w:val="20"/>
                <w:lang w:eastAsia="cs-CZ" w:bidi="ar-SA"/>
              </w:rPr>
            </w:pPr>
            <w:r w:rsidRPr="00E50C80">
              <w:rPr>
                <w:rFonts w:eastAsia="Times New Roman" w:cs="Calibri"/>
                <w:b/>
                <w:bCs/>
                <w:color w:val="FFFFFF" w:themeColor="background1"/>
                <w:spacing w:val="0"/>
                <w:sz w:val="20"/>
                <w:lang w:eastAsia="cs-CZ" w:bidi="ar-SA"/>
              </w:rPr>
              <w:t>Program</w:t>
            </w:r>
          </w:p>
        </w:tc>
        <w:tc>
          <w:tcPr>
            <w:tcW w:w="2551" w:type="dxa"/>
            <w:tcBorders>
              <w:top w:val="single" w:sz="4" w:space="0" w:color="auto"/>
              <w:left w:val="single" w:sz="4" w:space="0" w:color="auto"/>
              <w:bottom w:val="single" w:sz="4" w:space="0" w:color="auto"/>
              <w:right w:val="single" w:sz="4" w:space="0" w:color="auto"/>
            </w:tcBorders>
            <w:shd w:val="clear" w:color="auto" w:fill="4F81BD"/>
            <w:hideMark/>
          </w:tcPr>
          <w:p w14:paraId="2CC017A4" w14:textId="77777777" w:rsidR="00A33BBC" w:rsidRPr="00E50C80" w:rsidRDefault="00A33BBC" w:rsidP="00F10A9D">
            <w:pPr>
              <w:spacing w:before="120" w:after="120" w:line="240" w:lineRule="auto"/>
              <w:jc w:val="left"/>
              <w:rPr>
                <w:rFonts w:eastAsia="Times New Roman" w:cs="Calibri"/>
                <w:b/>
                <w:bCs/>
                <w:color w:val="FFFFFF" w:themeColor="background1"/>
                <w:spacing w:val="0"/>
                <w:sz w:val="20"/>
                <w:lang w:eastAsia="cs-CZ" w:bidi="ar-SA"/>
              </w:rPr>
            </w:pPr>
            <w:r w:rsidRPr="00E50C80">
              <w:rPr>
                <w:rFonts w:eastAsia="Times New Roman" w:cs="Calibri"/>
                <w:b/>
                <w:bCs/>
                <w:color w:val="FFFFFF" w:themeColor="background1"/>
                <w:spacing w:val="0"/>
                <w:sz w:val="20"/>
                <w:lang w:eastAsia="cs-CZ" w:bidi="ar-SA"/>
              </w:rPr>
              <w:t xml:space="preserve">Plán dle </w:t>
            </w:r>
            <w:r w:rsidR="008A4147">
              <w:rPr>
                <w:rFonts w:eastAsia="Times New Roman" w:cs="Calibri"/>
                <w:b/>
                <w:bCs/>
                <w:color w:val="FFFFFF" w:themeColor="background1"/>
                <w:spacing w:val="0"/>
                <w:sz w:val="20"/>
                <w:lang w:eastAsia="cs-CZ" w:bidi="ar-SA"/>
              </w:rPr>
              <w:t>N</w:t>
            </w:r>
            <w:r w:rsidRPr="00E50C80">
              <w:rPr>
                <w:rFonts w:eastAsia="Times New Roman" w:cs="Calibri"/>
                <w:b/>
                <w:bCs/>
                <w:color w:val="FFFFFF" w:themeColor="background1"/>
                <w:spacing w:val="0"/>
                <w:sz w:val="20"/>
                <w:lang w:eastAsia="cs-CZ" w:bidi="ar-SA"/>
              </w:rPr>
              <w:t>RIS3 (v mld. Kč)</w:t>
            </w:r>
          </w:p>
        </w:tc>
      </w:tr>
      <w:tr w:rsidR="00A33BBC" w:rsidRPr="00365E59" w14:paraId="624E0231" w14:textId="77777777" w:rsidTr="00F10A9D">
        <w:trPr>
          <w:trHeight w:val="315"/>
        </w:trPr>
        <w:tc>
          <w:tcPr>
            <w:tcW w:w="3696"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1F6EE80D" w14:textId="77777777" w:rsidR="00A33BBC" w:rsidRDefault="00A33BBC" w:rsidP="00F10A9D">
            <w:pPr>
              <w:spacing w:before="0" w:after="0" w:line="240" w:lineRule="auto"/>
              <w:jc w:val="left"/>
              <w:rPr>
                <w:rFonts w:cs="Calibri"/>
                <w:color w:val="000000"/>
                <w:sz w:val="20"/>
              </w:rPr>
            </w:pPr>
            <w:r>
              <w:rPr>
                <w:rFonts w:cs="Calibri"/>
                <w:color w:val="000000"/>
                <w:sz w:val="20"/>
              </w:rPr>
              <w:t>TA</w:t>
            </w:r>
            <w:r w:rsidR="008A4147">
              <w:rPr>
                <w:rFonts w:cs="Calibri"/>
                <w:color w:val="000000"/>
                <w:sz w:val="20"/>
              </w:rPr>
              <w:t xml:space="preserve"> </w:t>
            </w:r>
            <w:r>
              <w:rPr>
                <w:rFonts w:cs="Calibri"/>
                <w:color w:val="000000"/>
                <w:sz w:val="20"/>
              </w:rPr>
              <w:t>ČR</w:t>
            </w:r>
          </w:p>
        </w:tc>
        <w:tc>
          <w:tcPr>
            <w:tcW w:w="2268" w:type="dxa"/>
            <w:tcBorders>
              <w:top w:val="single" w:sz="4" w:space="0" w:color="auto"/>
              <w:left w:val="nil"/>
              <w:bottom w:val="single" w:sz="8" w:space="0" w:color="auto"/>
              <w:right w:val="single" w:sz="8" w:space="0" w:color="auto"/>
            </w:tcBorders>
            <w:shd w:val="clear" w:color="auto" w:fill="auto"/>
            <w:vAlign w:val="center"/>
            <w:hideMark/>
          </w:tcPr>
          <w:p w14:paraId="7CC8F397" w14:textId="77777777" w:rsidR="00A33BBC" w:rsidRDefault="00A33BBC" w:rsidP="00F10A9D">
            <w:pPr>
              <w:spacing w:before="0" w:after="0" w:line="240" w:lineRule="auto"/>
              <w:jc w:val="left"/>
              <w:rPr>
                <w:rFonts w:cs="Calibri"/>
                <w:color w:val="000000"/>
                <w:sz w:val="20"/>
              </w:rPr>
            </w:pPr>
            <w:r>
              <w:rPr>
                <w:rFonts w:cs="Calibri"/>
                <w:color w:val="000000"/>
                <w:sz w:val="20"/>
              </w:rPr>
              <w:t>Centra kompetence</w:t>
            </w:r>
          </w:p>
        </w:tc>
        <w:tc>
          <w:tcPr>
            <w:tcW w:w="2551" w:type="dxa"/>
            <w:tcBorders>
              <w:top w:val="single" w:sz="4" w:space="0" w:color="auto"/>
              <w:left w:val="nil"/>
              <w:bottom w:val="single" w:sz="8" w:space="0" w:color="auto"/>
              <w:right w:val="single" w:sz="8" w:space="0" w:color="auto"/>
            </w:tcBorders>
            <w:shd w:val="clear" w:color="auto" w:fill="auto"/>
            <w:vAlign w:val="center"/>
            <w:hideMark/>
          </w:tcPr>
          <w:p w14:paraId="4435E2E3" w14:textId="77777777" w:rsidR="00A33BBC" w:rsidRPr="002776D7" w:rsidRDefault="00A33BBC" w:rsidP="00F10A9D">
            <w:pPr>
              <w:spacing w:before="0" w:after="0" w:line="240" w:lineRule="auto"/>
              <w:jc w:val="right"/>
              <w:rPr>
                <w:rFonts w:cs="Calibri"/>
                <w:color w:val="000000"/>
                <w:sz w:val="20"/>
              </w:rPr>
            </w:pPr>
            <w:r w:rsidRPr="002776D7">
              <w:rPr>
                <w:rFonts w:cs="Calibri"/>
                <w:color w:val="000000"/>
                <w:sz w:val="20"/>
              </w:rPr>
              <w:t>2,04</w:t>
            </w:r>
          </w:p>
        </w:tc>
      </w:tr>
      <w:tr w:rsidR="00A33BBC" w:rsidRPr="00365E59" w14:paraId="2C927516" w14:textId="77777777" w:rsidTr="00F10A9D">
        <w:trPr>
          <w:trHeight w:val="315"/>
        </w:trPr>
        <w:tc>
          <w:tcPr>
            <w:tcW w:w="3696" w:type="dxa"/>
            <w:tcBorders>
              <w:top w:val="nil"/>
              <w:left w:val="single" w:sz="8" w:space="0" w:color="auto"/>
              <w:bottom w:val="single" w:sz="8" w:space="0" w:color="auto"/>
              <w:right w:val="single" w:sz="8" w:space="0" w:color="auto"/>
            </w:tcBorders>
            <w:shd w:val="clear" w:color="auto" w:fill="auto"/>
            <w:vAlign w:val="center"/>
            <w:hideMark/>
          </w:tcPr>
          <w:p w14:paraId="65B708EF" w14:textId="77777777" w:rsidR="00A33BBC" w:rsidRDefault="00A33BBC" w:rsidP="00F10A9D">
            <w:pPr>
              <w:spacing w:before="0" w:after="0" w:line="240" w:lineRule="auto"/>
              <w:jc w:val="left"/>
              <w:rPr>
                <w:rFonts w:cs="Calibri"/>
                <w:color w:val="000000"/>
                <w:sz w:val="20"/>
              </w:rPr>
            </w:pPr>
            <w:r>
              <w:rPr>
                <w:rFonts w:cs="Calibri"/>
                <w:color w:val="000000"/>
                <w:sz w:val="20"/>
              </w:rPr>
              <w:t>TA</w:t>
            </w:r>
            <w:r w:rsidR="008A4147">
              <w:rPr>
                <w:rFonts w:cs="Calibri"/>
                <w:color w:val="000000"/>
                <w:sz w:val="20"/>
              </w:rPr>
              <w:t xml:space="preserve"> </w:t>
            </w:r>
            <w:r>
              <w:rPr>
                <w:rFonts w:cs="Calibri"/>
                <w:color w:val="000000"/>
                <w:sz w:val="20"/>
              </w:rPr>
              <w:t>ČR</w:t>
            </w:r>
          </w:p>
        </w:tc>
        <w:tc>
          <w:tcPr>
            <w:tcW w:w="2268" w:type="dxa"/>
            <w:tcBorders>
              <w:top w:val="nil"/>
              <w:left w:val="nil"/>
              <w:bottom w:val="single" w:sz="8" w:space="0" w:color="auto"/>
              <w:right w:val="single" w:sz="8" w:space="0" w:color="auto"/>
            </w:tcBorders>
            <w:shd w:val="clear" w:color="auto" w:fill="auto"/>
            <w:vAlign w:val="center"/>
            <w:hideMark/>
          </w:tcPr>
          <w:p w14:paraId="39DEB1AF" w14:textId="77777777" w:rsidR="00A33BBC" w:rsidRDefault="00A33BBC" w:rsidP="00F10A9D">
            <w:pPr>
              <w:spacing w:before="0" w:after="0" w:line="240" w:lineRule="auto"/>
              <w:jc w:val="left"/>
              <w:rPr>
                <w:rFonts w:cs="Calibri"/>
                <w:color w:val="000000"/>
                <w:sz w:val="20"/>
              </w:rPr>
            </w:pPr>
            <w:r>
              <w:rPr>
                <w:rFonts w:cs="Calibri"/>
                <w:color w:val="000000"/>
                <w:sz w:val="20"/>
              </w:rPr>
              <w:t>EPSILON</w:t>
            </w:r>
          </w:p>
        </w:tc>
        <w:tc>
          <w:tcPr>
            <w:tcW w:w="2551" w:type="dxa"/>
            <w:tcBorders>
              <w:top w:val="nil"/>
              <w:left w:val="nil"/>
              <w:bottom w:val="single" w:sz="8" w:space="0" w:color="auto"/>
              <w:right w:val="single" w:sz="8" w:space="0" w:color="auto"/>
            </w:tcBorders>
            <w:shd w:val="clear" w:color="auto" w:fill="auto"/>
            <w:vAlign w:val="center"/>
            <w:hideMark/>
          </w:tcPr>
          <w:p w14:paraId="2F535FE4" w14:textId="77777777" w:rsidR="00A33BBC" w:rsidRPr="002776D7" w:rsidRDefault="00A33BBC" w:rsidP="00F10A9D">
            <w:pPr>
              <w:spacing w:before="0" w:after="0" w:line="240" w:lineRule="auto"/>
              <w:jc w:val="right"/>
              <w:rPr>
                <w:rFonts w:cs="Calibri"/>
                <w:color w:val="000000"/>
                <w:sz w:val="20"/>
              </w:rPr>
            </w:pPr>
            <w:r w:rsidRPr="002776D7">
              <w:rPr>
                <w:rFonts w:cs="Calibri"/>
                <w:color w:val="000000"/>
                <w:sz w:val="20"/>
              </w:rPr>
              <w:t>4,19</w:t>
            </w:r>
          </w:p>
        </w:tc>
      </w:tr>
      <w:tr w:rsidR="00A33BBC" w:rsidRPr="00365E59" w14:paraId="5F9A3ACA" w14:textId="77777777" w:rsidTr="00F10A9D">
        <w:trPr>
          <w:trHeight w:val="315"/>
        </w:trPr>
        <w:tc>
          <w:tcPr>
            <w:tcW w:w="3696" w:type="dxa"/>
            <w:tcBorders>
              <w:top w:val="nil"/>
              <w:left w:val="single" w:sz="8" w:space="0" w:color="auto"/>
              <w:bottom w:val="single" w:sz="8" w:space="0" w:color="auto"/>
              <w:right w:val="single" w:sz="8" w:space="0" w:color="auto"/>
            </w:tcBorders>
            <w:shd w:val="clear" w:color="auto" w:fill="auto"/>
            <w:vAlign w:val="center"/>
            <w:hideMark/>
          </w:tcPr>
          <w:p w14:paraId="09A29CDF" w14:textId="77777777" w:rsidR="00A33BBC" w:rsidRDefault="00A33BBC" w:rsidP="00F10A9D">
            <w:pPr>
              <w:spacing w:before="0" w:after="0" w:line="240" w:lineRule="auto"/>
              <w:jc w:val="left"/>
              <w:rPr>
                <w:rFonts w:cs="Calibri"/>
                <w:color w:val="000000"/>
                <w:sz w:val="20"/>
              </w:rPr>
            </w:pPr>
            <w:r>
              <w:rPr>
                <w:rFonts w:cs="Calibri"/>
                <w:color w:val="000000"/>
                <w:sz w:val="20"/>
              </w:rPr>
              <w:t>TA</w:t>
            </w:r>
            <w:r w:rsidR="008A4147">
              <w:rPr>
                <w:rFonts w:cs="Calibri"/>
                <w:color w:val="000000"/>
                <w:sz w:val="20"/>
              </w:rPr>
              <w:t xml:space="preserve"> </w:t>
            </w:r>
            <w:r>
              <w:rPr>
                <w:rFonts w:cs="Calibri"/>
                <w:color w:val="000000"/>
                <w:sz w:val="20"/>
              </w:rPr>
              <w:t>ČR</w:t>
            </w:r>
          </w:p>
        </w:tc>
        <w:tc>
          <w:tcPr>
            <w:tcW w:w="2268" w:type="dxa"/>
            <w:tcBorders>
              <w:top w:val="nil"/>
              <w:left w:val="nil"/>
              <w:bottom w:val="single" w:sz="8" w:space="0" w:color="auto"/>
              <w:right w:val="single" w:sz="8" w:space="0" w:color="auto"/>
            </w:tcBorders>
            <w:shd w:val="clear" w:color="auto" w:fill="auto"/>
            <w:vAlign w:val="center"/>
            <w:hideMark/>
          </w:tcPr>
          <w:p w14:paraId="3E68BC40" w14:textId="77777777" w:rsidR="00A33BBC" w:rsidRDefault="00A33BBC" w:rsidP="00F10A9D">
            <w:pPr>
              <w:spacing w:before="0" w:after="0" w:line="240" w:lineRule="auto"/>
              <w:jc w:val="left"/>
              <w:rPr>
                <w:rFonts w:cs="Calibri"/>
                <w:color w:val="000000"/>
                <w:sz w:val="20"/>
              </w:rPr>
            </w:pPr>
            <w:r>
              <w:rPr>
                <w:rFonts w:cs="Calibri"/>
                <w:color w:val="000000"/>
                <w:sz w:val="20"/>
              </w:rPr>
              <w:t>GAMA</w:t>
            </w:r>
          </w:p>
        </w:tc>
        <w:tc>
          <w:tcPr>
            <w:tcW w:w="2551" w:type="dxa"/>
            <w:tcBorders>
              <w:top w:val="nil"/>
              <w:left w:val="nil"/>
              <w:bottom w:val="single" w:sz="8" w:space="0" w:color="auto"/>
              <w:right w:val="single" w:sz="8" w:space="0" w:color="auto"/>
            </w:tcBorders>
            <w:shd w:val="clear" w:color="auto" w:fill="auto"/>
            <w:vAlign w:val="center"/>
            <w:hideMark/>
          </w:tcPr>
          <w:p w14:paraId="530AC7A7" w14:textId="77777777" w:rsidR="00A33BBC" w:rsidRPr="002776D7" w:rsidRDefault="00A33BBC" w:rsidP="00F10A9D">
            <w:pPr>
              <w:spacing w:before="0" w:after="0" w:line="240" w:lineRule="auto"/>
              <w:jc w:val="right"/>
              <w:rPr>
                <w:rFonts w:cs="Calibri"/>
                <w:color w:val="000000"/>
                <w:sz w:val="20"/>
              </w:rPr>
            </w:pPr>
            <w:r w:rsidRPr="002776D7">
              <w:rPr>
                <w:rFonts w:cs="Calibri"/>
                <w:color w:val="000000"/>
                <w:sz w:val="20"/>
              </w:rPr>
              <w:t>0,85</w:t>
            </w:r>
          </w:p>
        </w:tc>
      </w:tr>
      <w:tr w:rsidR="00A33BBC" w:rsidRPr="00365E59" w14:paraId="5E1EC11B" w14:textId="77777777" w:rsidTr="00F10A9D">
        <w:trPr>
          <w:trHeight w:val="315"/>
        </w:trPr>
        <w:tc>
          <w:tcPr>
            <w:tcW w:w="3696" w:type="dxa"/>
            <w:tcBorders>
              <w:top w:val="nil"/>
              <w:left w:val="single" w:sz="8" w:space="0" w:color="auto"/>
              <w:bottom w:val="single" w:sz="8" w:space="0" w:color="auto"/>
              <w:right w:val="single" w:sz="8" w:space="0" w:color="auto"/>
            </w:tcBorders>
            <w:shd w:val="clear" w:color="auto" w:fill="auto"/>
            <w:vAlign w:val="center"/>
            <w:hideMark/>
          </w:tcPr>
          <w:p w14:paraId="3ACE5184" w14:textId="77777777" w:rsidR="00A33BBC" w:rsidRDefault="00A33BBC" w:rsidP="00F10A9D">
            <w:pPr>
              <w:spacing w:before="0" w:after="0" w:line="240" w:lineRule="auto"/>
              <w:jc w:val="left"/>
              <w:rPr>
                <w:rFonts w:cs="Calibri"/>
                <w:color w:val="000000"/>
                <w:sz w:val="20"/>
              </w:rPr>
            </w:pPr>
            <w:r>
              <w:rPr>
                <w:rFonts w:cs="Calibri"/>
                <w:color w:val="000000"/>
                <w:sz w:val="20"/>
              </w:rPr>
              <w:t>MPO</w:t>
            </w:r>
          </w:p>
        </w:tc>
        <w:tc>
          <w:tcPr>
            <w:tcW w:w="2268" w:type="dxa"/>
            <w:tcBorders>
              <w:top w:val="nil"/>
              <w:left w:val="nil"/>
              <w:bottom w:val="single" w:sz="8" w:space="0" w:color="auto"/>
              <w:right w:val="single" w:sz="8" w:space="0" w:color="auto"/>
            </w:tcBorders>
            <w:shd w:val="clear" w:color="auto" w:fill="auto"/>
            <w:vAlign w:val="center"/>
            <w:hideMark/>
          </w:tcPr>
          <w:p w14:paraId="181A11A4" w14:textId="77777777" w:rsidR="00A33BBC" w:rsidRDefault="00A33BBC" w:rsidP="00F10A9D">
            <w:pPr>
              <w:spacing w:before="0" w:after="0" w:line="240" w:lineRule="auto"/>
              <w:jc w:val="left"/>
              <w:rPr>
                <w:rFonts w:cs="Calibri"/>
                <w:color w:val="000000"/>
                <w:sz w:val="20"/>
              </w:rPr>
            </w:pPr>
            <w:r>
              <w:rPr>
                <w:rFonts w:cs="Calibri"/>
                <w:color w:val="000000"/>
                <w:sz w:val="20"/>
              </w:rPr>
              <w:t>TRIO</w:t>
            </w:r>
          </w:p>
        </w:tc>
        <w:tc>
          <w:tcPr>
            <w:tcW w:w="2551" w:type="dxa"/>
            <w:tcBorders>
              <w:top w:val="nil"/>
              <w:left w:val="nil"/>
              <w:bottom w:val="single" w:sz="8" w:space="0" w:color="auto"/>
              <w:right w:val="single" w:sz="8" w:space="0" w:color="auto"/>
            </w:tcBorders>
            <w:shd w:val="clear" w:color="auto" w:fill="auto"/>
            <w:vAlign w:val="center"/>
            <w:hideMark/>
          </w:tcPr>
          <w:p w14:paraId="3B238E81" w14:textId="77777777" w:rsidR="00A33BBC" w:rsidRPr="002776D7" w:rsidRDefault="00A33BBC" w:rsidP="00F10A9D">
            <w:pPr>
              <w:spacing w:before="0" w:after="0" w:line="240" w:lineRule="auto"/>
              <w:jc w:val="right"/>
              <w:rPr>
                <w:rFonts w:cs="Calibri"/>
                <w:color w:val="000000"/>
                <w:sz w:val="20"/>
              </w:rPr>
            </w:pPr>
            <w:r w:rsidRPr="002776D7">
              <w:rPr>
                <w:rFonts w:cs="Calibri"/>
                <w:color w:val="000000"/>
                <w:sz w:val="20"/>
              </w:rPr>
              <w:t>2,77</w:t>
            </w:r>
          </w:p>
        </w:tc>
      </w:tr>
      <w:tr w:rsidR="00A33BBC" w:rsidRPr="00365E59" w14:paraId="6AEEEFF0" w14:textId="77777777" w:rsidTr="00F10A9D">
        <w:trPr>
          <w:trHeight w:val="315"/>
        </w:trPr>
        <w:tc>
          <w:tcPr>
            <w:tcW w:w="3696" w:type="dxa"/>
            <w:tcBorders>
              <w:top w:val="nil"/>
              <w:left w:val="single" w:sz="8" w:space="0" w:color="auto"/>
              <w:bottom w:val="single" w:sz="8" w:space="0" w:color="auto"/>
              <w:right w:val="single" w:sz="8" w:space="0" w:color="auto"/>
            </w:tcBorders>
            <w:shd w:val="clear" w:color="auto" w:fill="auto"/>
            <w:vAlign w:val="center"/>
            <w:hideMark/>
          </w:tcPr>
          <w:p w14:paraId="5CE30545" w14:textId="77777777" w:rsidR="00A33BBC" w:rsidRDefault="00A33BBC" w:rsidP="00F10A9D">
            <w:pPr>
              <w:spacing w:before="0" w:after="0" w:line="240" w:lineRule="auto"/>
              <w:jc w:val="left"/>
              <w:rPr>
                <w:rFonts w:cs="Calibri"/>
                <w:b/>
                <w:bCs/>
                <w:color w:val="000000"/>
                <w:sz w:val="20"/>
              </w:rPr>
            </w:pPr>
            <w:r>
              <w:rPr>
                <w:rFonts w:cs="Calibri"/>
                <w:b/>
                <w:bCs/>
                <w:color w:val="000000"/>
                <w:sz w:val="20"/>
              </w:rPr>
              <w:t>Celkem</w:t>
            </w:r>
          </w:p>
        </w:tc>
        <w:tc>
          <w:tcPr>
            <w:tcW w:w="2268" w:type="dxa"/>
            <w:tcBorders>
              <w:top w:val="nil"/>
              <w:left w:val="nil"/>
              <w:bottom w:val="single" w:sz="8" w:space="0" w:color="auto"/>
              <w:right w:val="single" w:sz="8" w:space="0" w:color="auto"/>
            </w:tcBorders>
            <w:shd w:val="clear" w:color="auto" w:fill="auto"/>
            <w:vAlign w:val="center"/>
            <w:hideMark/>
          </w:tcPr>
          <w:p w14:paraId="0C4E0774" w14:textId="77777777" w:rsidR="00A33BBC" w:rsidRDefault="008A4147" w:rsidP="00F10A9D">
            <w:pPr>
              <w:spacing w:before="0" w:after="0" w:line="240" w:lineRule="auto"/>
              <w:jc w:val="left"/>
              <w:rPr>
                <w:rFonts w:cs="Calibri"/>
                <w:b/>
                <w:bCs/>
                <w:color w:val="000000"/>
                <w:sz w:val="20"/>
              </w:rPr>
            </w:pPr>
            <w:r>
              <w:rPr>
                <w:rFonts w:cs="Calibri"/>
                <w:b/>
                <w:bCs/>
                <w:color w:val="000000"/>
                <w:sz w:val="20"/>
              </w:rPr>
              <w:t>N</w:t>
            </w:r>
            <w:r w:rsidR="00A33BBC">
              <w:rPr>
                <w:rFonts w:cs="Calibri"/>
                <w:b/>
                <w:bCs/>
                <w:color w:val="000000"/>
                <w:sz w:val="20"/>
              </w:rPr>
              <w:t>RIS3</w:t>
            </w:r>
          </w:p>
        </w:tc>
        <w:tc>
          <w:tcPr>
            <w:tcW w:w="2551" w:type="dxa"/>
            <w:tcBorders>
              <w:top w:val="nil"/>
              <w:left w:val="nil"/>
              <w:bottom w:val="single" w:sz="8" w:space="0" w:color="auto"/>
              <w:right w:val="single" w:sz="8" w:space="0" w:color="auto"/>
            </w:tcBorders>
            <w:shd w:val="clear" w:color="auto" w:fill="auto"/>
            <w:vAlign w:val="center"/>
            <w:hideMark/>
          </w:tcPr>
          <w:p w14:paraId="2880A962" w14:textId="77777777" w:rsidR="00A33BBC" w:rsidRPr="002776D7" w:rsidRDefault="00A33BBC" w:rsidP="00F10A9D">
            <w:pPr>
              <w:spacing w:before="0" w:after="0" w:line="240" w:lineRule="auto"/>
              <w:jc w:val="right"/>
              <w:rPr>
                <w:rFonts w:cs="Calibri"/>
                <w:b/>
                <w:color w:val="000000"/>
                <w:sz w:val="20"/>
              </w:rPr>
            </w:pPr>
            <w:r w:rsidRPr="002776D7">
              <w:rPr>
                <w:rFonts w:cs="Calibri"/>
                <w:b/>
                <w:color w:val="000000"/>
                <w:sz w:val="20"/>
              </w:rPr>
              <w:t>9,85</w:t>
            </w:r>
          </w:p>
        </w:tc>
      </w:tr>
    </w:tbl>
    <w:p w14:paraId="6B77B422" w14:textId="77777777" w:rsidR="00A33BBC" w:rsidRDefault="00A33BBC" w:rsidP="00A33BBC">
      <w:pPr>
        <w:spacing w:before="0" w:after="0" w:line="240" w:lineRule="auto"/>
        <w:jc w:val="left"/>
        <w:rPr>
          <w:sz w:val="18"/>
          <w:szCs w:val="18"/>
          <w:lang w:bidi="ar-SA"/>
        </w:rPr>
      </w:pPr>
      <w:r w:rsidRPr="001B560C">
        <w:rPr>
          <w:sz w:val="18"/>
          <w:szCs w:val="18"/>
          <w:lang w:bidi="ar-SA"/>
        </w:rPr>
        <w:t xml:space="preserve">Zdroj: </w:t>
      </w:r>
      <w:r>
        <w:rPr>
          <w:sz w:val="18"/>
          <w:szCs w:val="18"/>
          <w:lang w:bidi="ar-SA"/>
        </w:rPr>
        <w:t>monitoring MPO, vlastní zpracování</w:t>
      </w:r>
    </w:p>
    <w:p w14:paraId="6A46768F" w14:textId="77777777" w:rsidR="00F97C7B" w:rsidRPr="001B560C" w:rsidRDefault="00F97C7B" w:rsidP="00A33BBC">
      <w:pPr>
        <w:spacing w:before="0" w:after="0" w:line="240" w:lineRule="auto"/>
        <w:jc w:val="left"/>
        <w:rPr>
          <w:sz w:val="18"/>
          <w:szCs w:val="18"/>
          <w:lang w:bidi="ar-SA"/>
        </w:rPr>
      </w:pPr>
    </w:p>
    <w:p w14:paraId="0A539191" w14:textId="77777777" w:rsidR="00360DE4" w:rsidRDefault="00360DE4" w:rsidP="00A33BBC">
      <w:pPr>
        <w:spacing w:before="0" w:after="0" w:line="240" w:lineRule="auto"/>
        <w:rPr>
          <w:b/>
          <w:szCs w:val="22"/>
        </w:rPr>
      </w:pPr>
      <w:bookmarkStart w:id="62" w:name="_Toc5626493"/>
    </w:p>
    <w:p w14:paraId="2C3F2FAE" w14:textId="77777777" w:rsidR="00A33BBC" w:rsidRDefault="00A33BBC" w:rsidP="00A33BBC">
      <w:pPr>
        <w:spacing w:before="0" w:after="0" w:line="240" w:lineRule="auto"/>
        <w:rPr>
          <w:rFonts w:eastAsia="Times New Roman" w:cs="Calibri"/>
          <w:color w:val="000000"/>
          <w:spacing w:val="0"/>
          <w:szCs w:val="22"/>
          <w:lang w:eastAsia="cs-CZ" w:bidi="ar-SA"/>
        </w:rPr>
      </w:pPr>
      <w:r w:rsidRPr="00570F07">
        <w:rPr>
          <w:b/>
          <w:szCs w:val="22"/>
        </w:rPr>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10</w:t>
      </w:r>
      <w:r w:rsidR="008A090D" w:rsidRPr="00570F07">
        <w:rPr>
          <w:b/>
          <w:szCs w:val="22"/>
        </w:rPr>
        <w:fldChar w:fldCharType="end"/>
      </w:r>
      <w:r w:rsidRPr="00570F07">
        <w:rPr>
          <w:b/>
          <w:szCs w:val="22"/>
        </w:rPr>
        <w:t xml:space="preserve"> - </w:t>
      </w:r>
      <w:r w:rsidRPr="00BF28FE">
        <w:rPr>
          <w:rFonts w:eastAsia="Times New Roman" w:cs="Calibri"/>
          <w:color w:val="000000"/>
          <w:spacing w:val="0"/>
          <w:szCs w:val="22"/>
          <w:lang w:eastAsia="cs-CZ" w:bidi="ar-SA"/>
        </w:rPr>
        <w:t>Plánovaný podíl podpory Národní RIS3 strategie  v národních programech podpory</w:t>
      </w:r>
      <w:bookmarkEnd w:id="62"/>
    </w:p>
    <w:p w14:paraId="0F14F6FD" w14:textId="77777777" w:rsidR="00A33BBC" w:rsidRPr="00365E59" w:rsidRDefault="00A33BBC" w:rsidP="00A33BBC">
      <w:pPr>
        <w:spacing w:before="0" w:after="0" w:line="240" w:lineRule="auto"/>
        <w:rPr>
          <w:rFonts w:eastAsia="Times New Roman" w:cs="Calibri"/>
          <w:color w:val="000000"/>
          <w:spacing w:val="0"/>
          <w:szCs w:val="22"/>
          <w:lang w:eastAsia="cs-CZ" w:bidi="ar-SA"/>
        </w:rPr>
      </w:pPr>
    </w:p>
    <w:p w14:paraId="3253F40B" w14:textId="77777777" w:rsidR="00A33BBC" w:rsidRDefault="00A33BBC" w:rsidP="00A33BBC">
      <w:pPr>
        <w:spacing w:before="0" w:after="0" w:line="240" w:lineRule="auto"/>
        <w:jc w:val="center"/>
        <w:rPr>
          <w:lang w:bidi="ar-SA"/>
        </w:rPr>
      </w:pPr>
      <w:r w:rsidRPr="002776D7">
        <w:rPr>
          <w:noProof/>
          <w:lang w:eastAsia="cs-CZ" w:bidi="ar-SA"/>
        </w:rPr>
        <w:drawing>
          <wp:inline distT="0" distB="0" distL="0" distR="0" wp14:anchorId="26316B5C" wp14:editId="50F0669D">
            <wp:extent cx="5399405" cy="1659467"/>
            <wp:effectExtent l="19050" t="0" r="0" b="0"/>
            <wp:docPr id="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srcRect/>
                    <a:stretch>
                      <a:fillRect/>
                    </a:stretch>
                  </pic:blipFill>
                  <pic:spPr bwMode="auto">
                    <a:xfrm>
                      <a:off x="0" y="0"/>
                      <a:ext cx="5399405" cy="1659467"/>
                    </a:xfrm>
                    <a:prstGeom prst="rect">
                      <a:avLst/>
                    </a:prstGeom>
                    <a:noFill/>
                    <a:ln w="9525">
                      <a:noFill/>
                      <a:miter lim="800000"/>
                      <a:headEnd/>
                      <a:tailEnd/>
                    </a:ln>
                  </pic:spPr>
                </pic:pic>
              </a:graphicData>
            </a:graphic>
          </wp:inline>
        </w:drawing>
      </w:r>
    </w:p>
    <w:p w14:paraId="59C6234F" w14:textId="77777777" w:rsidR="00A33BBC" w:rsidRPr="001B560C" w:rsidRDefault="00A33BBC" w:rsidP="00A33BBC">
      <w:pPr>
        <w:spacing w:before="0" w:after="0" w:line="240" w:lineRule="auto"/>
        <w:jc w:val="left"/>
        <w:rPr>
          <w:sz w:val="18"/>
          <w:szCs w:val="18"/>
          <w:lang w:bidi="ar-SA"/>
        </w:rPr>
      </w:pPr>
      <w:r w:rsidRPr="001B560C">
        <w:rPr>
          <w:sz w:val="18"/>
          <w:szCs w:val="18"/>
          <w:lang w:bidi="ar-SA"/>
        </w:rPr>
        <w:t xml:space="preserve">Zdroj: </w:t>
      </w:r>
      <w:r>
        <w:rPr>
          <w:sz w:val="18"/>
          <w:szCs w:val="18"/>
          <w:lang w:bidi="ar-SA"/>
        </w:rPr>
        <w:t>monitoring MPO, vlastní zpracování</w:t>
      </w:r>
    </w:p>
    <w:p w14:paraId="21457B52" w14:textId="77777777" w:rsidR="00A33BBC" w:rsidRDefault="00A33BBC" w:rsidP="00A33BBC">
      <w:pPr>
        <w:spacing w:before="0" w:after="0" w:line="240" w:lineRule="auto"/>
        <w:jc w:val="left"/>
        <w:rPr>
          <w:rFonts w:eastAsia="Times New Roman" w:cs="Calibri"/>
          <w:color w:val="000000"/>
          <w:spacing w:val="0"/>
          <w:szCs w:val="22"/>
          <w:lang w:eastAsia="cs-CZ" w:bidi="ar-SA"/>
        </w:rPr>
      </w:pPr>
    </w:p>
    <w:p w14:paraId="0198C8AB" w14:textId="77777777" w:rsidR="00A33BBC" w:rsidRDefault="008A4147" w:rsidP="00A33BBC">
      <w:pPr>
        <w:rPr>
          <w:rFonts w:eastAsia="Times New Roman" w:cs="Calibri"/>
          <w:color w:val="000000"/>
          <w:spacing w:val="-4"/>
          <w:szCs w:val="22"/>
          <w:lang w:eastAsia="cs-CZ" w:bidi="ar-SA"/>
        </w:rPr>
      </w:pPr>
      <w:r>
        <w:rPr>
          <w:rFonts w:eastAsia="Times New Roman" w:cs="Calibri"/>
          <w:color w:val="000000"/>
          <w:spacing w:val="-4"/>
          <w:szCs w:val="22"/>
          <w:lang w:eastAsia="cs-CZ" w:bidi="ar-SA"/>
        </w:rPr>
        <w:t>Jak vyplývá z grafu č. 11 níže, č</w:t>
      </w:r>
      <w:r w:rsidR="00A33BBC" w:rsidRPr="0069381D">
        <w:rPr>
          <w:rFonts w:eastAsia="Times New Roman" w:cs="Calibri"/>
          <w:color w:val="000000"/>
          <w:spacing w:val="-4"/>
          <w:szCs w:val="22"/>
          <w:lang w:eastAsia="cs-CZ" w:bidi="ar-SA"/>
        </w:rPr>
        <w:t>erpání finančních prostředků v </w:t>
      </w:r>
      <w:r w:rsidR="00A33BBC">
        <w:rPr>
          <w:rFonts w:eastAsia="Times New Roman" w:cs="Calibri"/>
          <w:color w:val="000000"/>
          <w:spacing w:val="-4"/>
          <w:szCs w:val="22"/>
          <w:lang w:eastAsia="cs-CZ" w:bidi="ar-SA"/>
        </w:rPr>
        <w:t>národních</w:t>
      </w:r>
      <w:r w:rsidR="00A33BBC" w:rsidRPr="0069381D">
        <w:rPr>
          <w:rFonts w:eastAsia="Times New Roman" w:cs="Calibri"/>
          <w:color w:val="000000"/>
          <w:spacing w:val="-4"/>
          <w:szCs w:val="22"/>
          <w:lang w:eastAsia="cs-CZ" w:bidi="ar-SA"/>
        </w:rPr>
        <w:t xml:space="preserve"> programech</w:t>
      </w:r>
      <w:r w:rsidR="00A33BBC">
        <w:rPr>
          <w:rFonts w:eastAsia="Times New Roman" w:cs="Calibri"/>
          <w:color w:val="000000"/>
          <w:spacing w:val="-4"/>
          <w:szCs w:val="22"/>
          <w:lang w:eastAsia="cs-CZ" w:bidi="ar-SA"/>
        </w:rPr>
        <w:t xml:space="preserve"> podpory</w:t>
      </w:r>
      <w:r w:rsidR="00A33BBC" w:rsidRPr="0069381D">
        <w:rPr>
          <w:rFonts w:eastAsia="Times New Roman" w:cs="Calibri"/>
          <w:color w:val="000000"/>
          <w:spacing w:val="-4"/>
          <w:szCs w:val="22"/>
          <w:lang w:eastAsia="cs-CZ" w:bidi="ar-SA"/>
        </w:rPr>
        <w:t xml:space="preserve"> v součtu </w:t>
      </w:r>
      <w:r w:rsidR="00A33BBC">
        <w:rPr>
          <w:rFonts w:eastAsia="Times New Roman" w:cs="Calibri"/>
          <w:color w:val="000000"/>
          <w:spacing w:val="-4"/>
          <w:szCs w:val="22"/>
          <w:lang w:eastAsia="cs-CZ" w:bidi="ar-SA"/>
        </w:rPr>
        <w:t>již překročilo</w:t>
      </w:r>
      <w:r w:rsidR="00A33BBC" w:rsidRPr="0069381D">
        <w:rPr>
          <w:rFonts w:eastAsia="Times New Roman" w:cs="Calibri"/>
          <w:color w:val="000000"/>
          <w:spacing w:val="-4"/>
          <w:szCs w:val="22"/>
          <w:lang w:eastAsia="cs-CZ" w:bidi="ar-SA"/>
        </w:rPr>
        <w:t xml:space="preserve"> plánovan</w:t>
      </w:r>
      <w:r w:rsidR="00A33BBC">
        <w:rPr>
          <w:rFonts w:eastAsia="Times New Roman" w:cs="Calibri"/>
          <w:color w:val="000000"/>
          <w:spacing w:val="-4"/>
          <w:szCs w:val="22"/>
          <w:lang w:eastAsia="cs-CZ" w:bidi="ar-SA"/>
        </w:rPr>
        <w:t xml:space="preserve">ou </w:t>
      </w:r>
      <w:r w:rsidR="00A33BBC" w:rsidRPr="0069381D">
        <w:rPr>
          <w:rFonts w:eastAsia="Times New Roman" w:cs="Calibri"/>
          <w:color w:val="000000"/>
          <w:spacing w:val="-4"/>
          <w:szCs w:val="22"/>
          <w:lang w:eastAsia="cs-CZ" w:bidi="ar-SA"/>
        </w:rPr>
        <w:t>částk</w:t>
      </w:r>
      <w:r w:rsidR="00A33BBC">
        <w:rPr>
          <w:rFonts w:eastAsia="Times New Roman" w:cs="Calibri"/>
          <w:color w:val="000000"/>
          <w:spacing w:val="-4"/>
          <w:szCs w:val="22"/>
          <w:lang w:eastAsia="cs-CZ" w:bidi="ar-SA"/>
        </w:rPr>
        <w:t>u</w:t>
      </w:r>
      <w:r w:rsidR="001D05F5">
        <w:rPr>
          <w:rFonts w:eastAsia="Times New Roman" w:cs="Calibri"/>
          <w:color w:val="000000"/>
          <w:spacing w:val="-4"/>
          <w:szCs w:val="22"/>
          <w:lang w:eastAsia="cs-CZ" w:bidi="ar-SA"/>
        </w:rPr>
        <w:t xml:space="preserve"> a pohybuje se na úrovni 11</w:t>
      </w:r>
      <w:r w:rsidR="001D05F5" w:rsidRPr="0069381D">
        <w:rPr>
          <w:rFonts w:eastAsia="Times New Roman" w:cs="Calibri"/>
          <w:color w:val="000000"/>
          <w:spacing w:val="-4"/>
          <w:szCs w:val="22"/>
          <w:lang w:eastAsia="cs-CZ" w:bidi="ar-SA"/>
        </w:rPr>
        <w:t>6 % plánovaného finančního objemu.</w:t>
      </w:r>
      <w:r w:rsidR="001D05F5">
        <w:rPr>
          <w:rFonts w:eastAsia="Times New Roman" w:cs="Calibri"/>
          <w:color w:val="000000"/>
          <w:spacing w:val="-4"/>
          <w:szCs w:val="22"/>
          <w:lang w:eastAsia="cs-CZ" w:bidi="ar-SA"/>
        </w:rPr>
        <w:t xml:space="preserve"> Plá</w:t>
      </w:r>
      <w:r w:rsidR="00A33BBC">
        <w:rPr>
          <w:rFonts w:eastAsia="Times New Roman" w:cs="Calibri"/>
          <w:color w:val="000000"/>
          <w:spacing w:val="-4"/>
          <w:szCs w:val="22"/>
          <w:lang w:eastAsia="cs-CZ" w:bidi="ar-SA"/>
        </w:rPr>
        <w:t>novan</w:t>
      </w:r>
      <w:r w:rsidR="000757C0">
        <w:rPr>
          <w:rFonts w:eastAsia="Times New Roman" w:cs="Calibri"/>
          <w:color w:val="000000"/>
          <w:spacing w:val="-4"/>
          <w:szCs w:val="22"/>
          <w:lang w:eastAsia="cs-CZ" w:bidi="ar-SA"/>
        </w:rPr>
        <w:t>á</w:t>
      </w:r>
      <w:r w:rsidR="00A33BBC">
        <w:rPr>
          <w:rFonts w:eastAsia="Times New Roman" w:cs="Calibri"/>
          <w:color w:val="000000"/>
          <w:spacing w:val="-4"/>
          <w:szCs w:val="22"/>
          <w:lang w:eastAsia="cs-CZ" w:bidi="ar-SA"/>
        </w:rPr>
        <w:t xml:space="preserve"> částk</w:t>
      </w:r>
      <w:r w:rsidR="001D05F5">
        <w:rPr>
          <w:rFonts w:eastAsia="Times New Roman" w:cs="Calibri"/>
          <w:color w:val="000000"/>
          <w:spacing w:val="-4"/>
          <w:szCs w:val="22"/>
          <w:lang w:eastAsia="cs-CZ" w:bidi="ar-SA"/>
        </w:rPr>
        <w:t>a</w:t>
      </w:r>
      <w:r w:rsidR="00A33BBC">
        <w:rPr>
          <w:rFonts w:eastAsia="Times New Roman" w:cs="Calibri"/>
          <w:color w:val="000000"/>
          <w:spacing w:val="-4"/>
          <w:szCs w:val="22"/>
          <w:lang w:eastAsia="cs-CZ" w:bidi="ar-SA"/>
        </w:rPr>
        <w:t xml:space="preserve"> finančních prostředků prozatím </w:t>
      </w:r>
      <w:r w:rsidR="001D05F5">
        <w:rPr>
          <w:rFonts w:eastAsia="Times New Roman" w:cs="Calibri"/>
          <w:color w:val="000000"/>
          <w:spacing w:val="-4"/>
          <w:szCs w:val="22"/>
          <w:lang w:eastAsia="cs-CZ" w:bidi="ar-SA"/>
        </w:rPr>
        <w:t>nebyla vyčerpána</w:t>
      </w:r>
      <w:r w:rsidR="00A33BBC">
        <w:rPr>
          <w:rFonts w:eastAsia="Times New Roman" w:cs="Calibri"/>
          <w:color w:val="000000"/>
          <w:spacing w:val="-4"/>
          <w:szCs w:val="22"/>
          <w:lang w:eastAsia="cs-CZ" w:bidi="ar-SA"/>
        </w:rPr>
        <w:t xml:space="preserve"> program</w:t>
      </w:r>
      <w:r w:rsidR="001D05F5">
        <w:rPr>
          <w:rFonts w:eastAsia="Times New Roman" w:cs="Calibri"/>
          <w:color w:val="000000"/>
          <w:spacing w:val="-4"/>
          <w:szCs w:val="22"/>
          <w:lang w:eastAsia="cs-CZ" w:bidi="ar-SA"/>
        </w:rPr>
        <w:t>em</w:t>
      </w:r>
      <w:r w:rsidR="000757C0">
        <w:rPr>
          <w:rFonts w:eastAsia="Times New Roman" w:cs="Calibri"/>
          <w:color w:val="000000"/>
          <w:spacing w:val="-4"/>
          <w:szCs w:val="22"/>
          <w:lang w:eastAsia="cs-CZ" w:bidi="ar-SA"/>
        </w:rPr>
        <w:t xml:space="preserve"> Gama a Epsilon. Z hledis</w:t>
      </w:r>
      <w:r w:rsidR="00A33BBC">
        <w:rPr>
          <w:rFonts w:eastAsia="Times New Roman" w:cs="Calibri"/>
          <w:color w:val="000000"/>
          <w:spacing w:val="-4"/>
          <w:szCs w:val="22"/>
          <w:lang w:eastAsia="cs-CZ" w:bidi="ar-SA"/>
        </w:rPr>
        <w:t>ka podílu na celkovém financování Národní RIS3 strategie je však jejich podíl zanedbatelný a předpoklad dočerpání plánované</w:t>
      </w:r>
      <w:r w:rsidR="000757C0">
        <w:rPr>
          <w:rFonts w:eastAsia="Times New Roman" w:cs="Calibri"/>
          <w:color w:val="000000"/>
          <w:spacing w:val="-4"/>
          <w:szCs w:val="22"/>
          <w:lang w:eastAsia="cs-CZ" w:bidi="ar-SA"/>
        </w:rPr>
        <w:t>ho limitu</w:t>
      </w:r>
      <w:r w:rsidR="00A33BBC">
        <w:rPr>
          <w:rFonts w:eastAsia="Times New Roman" w:cs="Calibri"/>
          <w:color w:val="000000"/>
          <w:spacing w:val="-4"/>
          <w:szCs w:val="22"/>
          <w:lang w:eastAsia="cs-CZ" w:bidi="ar-SA"/>
        </w:rPr>
        <w:t xml:space="preserve"> je reálný.</w:t>
      </w:r>
    </w:p>
    <w:p w14:paraId="5D56ED5C" w14:textId="77777777" w:rsidR="007A2053" w:rsidRDefault="007A2053" w:rsidP="00A33BBC">
      <w:pPr>
        <w:spacing w:before="0" w:after="0" w:line="240" w:lineRule="auto"/>
        <w:jc w:val="left"/>
        <w:rPr>
          <w:b/>
          <w:szCs w:val="22"/>
        </w:rPr>
      </w:pPr>
    </w:p>
    <w:p w14:paraId="6ADCC6D3" w14:textId="77777777" w:rsidR="007A2053" w:rsidRDefault="007A2053" w:rsidP="00A33BBC">
      <w:pPr>
        <w:spacing w:before="0" w:after="0" w:line="240" w:lineRule="auto"/>
        <w:jc w:val="left"/>
        <w:rPr>
          <w:b/>
          <w:szCs w:val="22"/>
        </w:rPr>
      </w:pPr>
    </w:p>
    <w:p w14:paraId="32C4813E" w14:textId="77777777" w:rsidR="007A2053" w:rsidRDefault="007A2053" w:rsidP="00A33BBC">
      <w:pPr>
        <w:spacing w:before="0" w:after="0" w:line="240" w:lineRule="auto"/>
        <w:jc w:val="left"/>
        <w:rPr>
          <w:b/>
          <w:szCs w:val="22"/>
        </w:rPr>
      </w:pPr>
    </w:p>
    <w:p w14:paraId="379EF347" w14:textId="77777777" w:rsidR="007A2053" w:rsidRDefault="007A2053" w:rsidP="00A33BBC">
      <w:pPr>
        <w:spacing w:before="0" w:after="0" w:line="240" w:lineRule="auto"/>
        <w:jc w:val="left"/>
        <w:rPr>
          <w:b/>
          <w:szCs w:val="22"/>
        </w:rPr>
      </w:pPr>
    </w:p>
    <w:p w14:paraId="67E7B6C5" w14:textId="77777777" w:rsidR="007A2053" w:rsidRDefault="007A2053" w:rsidP="00A33BBC">
      <w:pPr>
        <w:spacing w:before="0" w:after="0" w:line="240" w:lineRule="auto"/>
        <w:jc w:val="left"/>
        <w:rPr>
          <w:b/>
          <w:szCs w:val="22"/>
        </w:rPr>
      </w:pPr>
    </w:p>
    <w:p w14:paraId="3F5B8473" w14:textId="77777777" w:rsidR="007A2053" w:rsidRDefault="007A2053" w:rsidP="00A33BBC">
      <w:pPr>
        <w:spacing w:before="0" w:after="0" w:line="240" w:lineRule="auto"/>
        <w:jc w:val="left"/>
        <w:rPr>
          <w:b/>
          <w:szCs w:val="22"/>
        </w:rPr>
      </w:pPr>
    </w:p>
    <w:p w14:paraId="34F5044C" w14:textId="77777777" w:rsidR="007A2053" w:rsidRDefault="007A2053" w:rsidP="00A33BBC">
      <w:pPr>
        <w:spacing w:before="0" w:after="0" w:line="240" w:lineRule="auto"/>
        <w:jc w:val="left"/>
        <w:rPr>
          <w:b/>
          <w:szCs w:val="22"/>
        </w:rPr>
      </w:pPr>
    </w:p>
    <w:p w14:paraId="36B2AD41" w14:textId="77777777" w:rsidR="007A2053" w:rsidRDefault="007A2053" w:rsidP="00A33BBC">
      <w:pPr>
        <w:spacing w:before="0" w:after="0" w:line="240" w:lineRule="auto"/>
        <w:jc w:val="left"/>
        <w:rPr>
          <w:b/>
          <w:szCs w:val="22"/>
        </w:rPr>
      </w:pPr>
    </w:p>
    <w:p w14:paraId="7FAD61B0" w14:textId="77777777" w:rsidR="007A2053" w:rsidRDefault="007A2053" w:rsidP="00A33BBC">
      <w:pPr>
        <w:spacing w:before="0" w:after="0" w:line="240" w:lineRule="auto"/>
        <w:jc w:val="left"/>
        <w:rPr>
          <w:b/>
          <w:szCs w:val="22"/>
        </w:rPr>
      </w:pPr>
    </w:p>
    <w:p w14:paraId="39899D4A" w14:textId="77777777" w:rsidR="007A2053" w:rsidRDefault="007A2053" w:rsidP="00A33BBC">
      <w:pPr>
        <w:spacing w:before="0" w:after="0" w:line="240" w:lineRule="auto"/>
        <w:jc w:val="left"/>
        <w:rPr>
          <w:b/>
          <w:szCs w:val="22"/>
        </w:rPr>
      </w:pPr>
    </w:p>
    <w:p w14:paraId="6F63FF90" w14:textId="77777777" w:rsidR="007A2053" w:rsidRDefault="007A2053" w:rsidP="00A33BBC">
      <w:pPr>
        <w:spacing w:before="0" w:after="0" w:line="240" w:lineRule="auto"/>
        <w:jc w:val="left"/>
        <w:rPr>
          <w:b/>
          <w:szCs w:val="22"/>
        </w:rPr>
      </w:pPr>
    </w:p>
    <w:p w14:paraId="6A5035CA" w14:textId="77777777" w:rsidR="007A2053" w:rsidRDefault="007A2053" w:rsidP="00A33BBC">
      <w:pPr>
        <w:spacing w:before="0" w:after="0" w:line="240" w:lineRule="auto"/>
        <w:jc w:val="left"/>
        <w:rPr>
          <w:b/>
          <w:szCs w:val="22"/>
        </w:rPr>
      </w:pPr>
    </w:p>
    <w:p w14:paraId="222C779A" w14:textId="77777777" w:rsidR="007A2053" w:rsidRDefault="007A2053" w:rsidP="00A33BBC">
      <w:pPr>
        <w:spacing w:before="0" w:after="0" w:line="240" w:lineRule="auto"/>
        <w:jc w:val="left"/>
        <w:rPr>
          <w:b/>
          <w:szCs w:val="22"/>
        </w:rPr>
      </w:pPr>
    </w:p>
    <w:p w14:paraId="1EF51408" w14:textId="77777777" w:rsidR="007A2053" w:rsidRDefault="007A2053" w:rsidP="00A33BBC">
      <w:pPr>
        <w:spacing w:before="0" w:after="0" w:line="240" w:lineRule="auto"/>
        <w:jc w:val="left"/>
        <w:rPr>
          <w:b/>
          <w:szCs w:val="22"/>
        </w:rPr>
      </w:pPr>
    </w:p>
    <w:p w14:paraId="3B0E3C84" w14:textId="77777777" w:rsidR="007A2053" w:rsidRDefault="007A2053" w:rsidP="00A33BBC">
      <w:pPr>
        <w:spacing w:before="0" w:after="0" w:line="240" w:lineRule="auto"/>
        <w:jc w:val="left"/>
        <w:rPr>
          <w:b/>
          <w:szCs w:val="22"/>
        </w:rPr>
      </w:pPr>
    </w:p>
    <w:p w14:paraId="2C3463FA" w14:textId="77777777" w:rsidR="007A2053" w:rsidRDefault="007A2053" w:rsidP="00A33BBC">
      <w:pPr>
        <w:spacing w:before="0" w:after="0" w:line="240" w:lineRule="auto"/>
        <w:jc w:val="left"/>
        <w:rPr>
          <w:b/>
          <w:szCs w:val="22"/>
        </w:rPr>
      </w:pPr>
    </w:p>
    <w:p w14:paraId="70EC475B" w14:textId="77777777" w:rsidR="007A2053" w:rsidRDefault="007A2053" w:rsidP="00A33BBC">
      <w:pPr>
        <w:spacing w:before="0" w:after="0" w:line="240" w:lineRule="auto"/>
        <w:jc w:val="left"/>
        <w:rPr>
          <w:b/>
          <w:szCs w:val="22"/>
        </w:rPr>
      </w:pPr>
    </w:p>
    <w:p w14:paraId="337A7096" w14:textId="77777777" w:rsidR="00A33BBC" w:rsidRDefault="00A33BBC" w:rsidP="00A33BBC">
      <w:pPr>
        <w:spacing w:before="0" w:after="0" w:line="240" w:lineRule="auto"/>
        <w:jc w:val="left"/>
        <w:rPr>
          <w:rFonts w:eastAsia="Times New Roman" w:cs="Calibri"/>
          <w:color w:val="000000"/>
          <w:spacing w:val="-4"/>
          <w:szCs w:val="22"/>
          <w:lang w:eastAsia="cs-CZ" w:bidi="ar-SA"/>
        </w:rPr>
      </w:pPr>
      <w:bookmarkStart w:id="63" w:name="_Toc5626494"/>
      <w:r w:rsidRPr="00570F07">
        <w:rPr>
          <w:b/>
          <w:szCs w:val="22"/>
        </w:rPr>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11</w:t>
      </w:r>
      <w:r w:rsidR="008A090D" w:rsidRPr="00570F07">
        <w:rPr>
          <w:b/>
          <w:szCs w:val="22"/>
        </w:rPr>
        <w:fldChar w:fldCharType="end"/>
      </w:r>
      <w:r w:rsidRPr="00570F07">
        <w:rPr>
          <w:b/>
          <w:szCs w:val="22"/>
        </w:rPr>
        <w:t xml:space="preserve"> - </w:t>
      </w:r>
      <w:r w:rsidRPr="00BF28FE">
        <w:rPr>
          <w:rFonts w:eastAsia="Times New Roman" w:cs="Calibri"/>
          <w:color w:val="000000"/>
          <w:spacing w:val="-4"/>
          <w:szCs w:val="22"/>
          <w:lang w:eastAsia="cs-CZ" w:bidi="ar-SA"/>
        </w:rPr>
        <w:t>Plnění finančního plánu NRIS3 strategie v národních programech podpory k 10/2018</w:t>
      </w:r>
      <w:bookmarkEnd w:id="63"/>
    </w:p>
    <w:p w14:paraId="7B3DEE26" w14:textId="77777777" w:rsidR="00A33BBC" w:rsidRPr="00D05752" w:rsidRDefault="00A33BBC" w:rsidP="00A33BBC">
      <w:pPr>
        <w:spacing w:before="0" w:after="0" w:line="240" w:lineRule="auto"/>
        <w:jc w:val="left"/>
        <w:rPr>
          <w:rFonts w:eastAsia="Times New Roman" w:cs="Calibri"/>
          <w:b/>
          <w:color w:val="000000"/>
          <w:spacing w:val="-4"/>
          <w:szCs w:val="22"/>
          <w:lang w:eastAsia="cs-CZ" w:bidi="ar-SA"/>
        </w:rPr>
      </w:pPr>
    </w:p>
    <w:p w14:paraId="11E628D6" w14:textId="77777777" w:rsidR="00A33BBC" w:rsidRDefault="00A33BBC" w:rsidP="00A33BBC">
      <w:pPr>
        <w:spacing w:before="0" w:after="0" w:line="240" w:lineRule="auto"/>
        <w:jc w:val="left"/>
        <w:rPr>
          <w:lang w:bidi="ar-SA"/>
        </w:rPr>
      </w:pPr>
      <w:r w:rsidRPr="002418EF">
        <w:rPr>
          <w:noProof/>
          <w:lang w:eastAsia="cs-CZ" w:bidi="ar-SA"/>
        </w:rPr>
        <w:drawing>
          <wp:inline distT="0" distB="0" distL="0" distR="0" wp14:anchorId="319D65BC" wp14:editId="7E54A8D2">
            <wp:extent cx="5399405" cy="2737060"/>
            <wp:effectExtent l="19050" t="0" r="0" b="0"/>
            <wp:docPr id="2058"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srcRect/>
                    <a:stretch>
                      <a:fillRect/>
                    </a:stretch>
                  </pic:blipFill>
                  <pic:spPr bwMode="auto">
                    <a:xfrm>
                      <a:off x="0" y="0"/>
                      <a:ext cx="5399405" cy="2737060"/>
                    </a:xfrm>
                    <a:prstGeom prst="rect">
                      <a:avLst/>
                    </a:prstGeom>
                    <a:noFill/>
                    <a:ln w="9525">
                      <a:noFill/>
                      <a:miter lim="800000"/>
                      <a:headEnd/>
                      <a:tailEnd/>
                    </a:ln>
                  </pic:spPr>
                </pic:pic>
              </a:graphicData>
            </a:graphic>
          </wp:inline>
        </w:drawing>
      </w:r>
    </w:p>
    <w:p w14:paraId="45B94520" w14:textId="77777777" w:rsidR="00A33BBC" w:rsidRPr="001B560C" w:rsidRDefault="00A33BBC" w:rsidP="00A33BBC">
      <w:pPr>
        <w:spacing w:before="0" w:after="0" w:line="240" w:lineRule="auto"/>
        <w:jc w:val="left"/>
        <w:rPr>
          <w:sz w:val="18"/>
          <w:szCs w:val="18"/>
          <w:lang w:bidi="ar-SA"/>
        </w:rPr>
      </w:pPr>
      <w:r w:rsidRPr="001B560C">
        <w:rPr>
          <w:sz w:val="18"/>
          <w:szCs w:val="18"/>
          <w:lang w:bidi="ar-SA"/>
        </w:rPr>
        <w:t xml:space="preserve">Zdroj: </w:t>
      </w:r>
      <w:r>
        <w:rPr>
          <w:sz w:val="18"/>
          <w:szCs w:val="18"/>
          <w:lang w:bidi="ar-SA"/>
        </w:rPr>
        <w:t>monitoring MPO, vlastní zpracování</w:t>
      </w:r>
    </w:p>
    <w:p w14:paraId="6F9DBCFB" w14:textId="77777777" w:rsidR="00A33BBC" w:rsidRDefault="00A33BBC" w:rsidP="00A33BBC">
      <w:pPr>
        <w:spacing w:before="0" w:after="0" w:line="240" w:lineRule="auto"/>
        <w:jc w:val="left"/>
        <w:rPr>
          <w:rFonts w:eastAsia="Times New Roman" w:cs="Calibri"/>
          <w:color w:val="000000"/>
          <w:spacing w:val="0"/>
          <w:szCs w:val="22"/>
          <w:lang w:eastAsia="cs-CZ" w:bidi="ar-SA"/>
        </w:rPr>
      </w:pPr>
    </w:p>
    <w:p w14:paraId="1167D9A7" w14:textId="77777777" w:rsidR="00A33BBC" w:rsidRPr="00A018DE" w:rsidRDefault="00FB0B15" w:rsidP="00A33BBC">
      <w:pPr>
        <w:rPr>
          <w:rFonts w:eastAsia="Times New Roman" w:cs="Calibri"/>
          <w:color w:val="000000"/>
          <w:spacing w:val="-4"/>
          <w:szCs w:val="22"/>
          <w:lang w:eastAsia="cs-CZ" w:bidi="ar-SA"/>
        </w:rPr>
      </w:pPr>
      <w:r w:rsidRPr="006C6975">
        <w:rPr>
          <w:rFonts w:eastAsia="Times New Roman" w:cs="Calibri"/>
          <w:color w:val="000000"/>
          <w:spacing w:val="-4"/>
          <w:szCs w:val="22"/>
          <w:lang w:eastAsia="cs-CZ" w:bidi="ar-SA"/>
        </w:rPr>
        <w:t xml:space="preserve">Z analýzy zdrojů financování projektů vyplývá, že veřejná podpora (tj. prostředky </w:t>
      </w:r>
      <w:r>
        <w:rPr>
          <w:rFonts w:eastAsia="Times New Roman" w:cs="Calibri"/>
          <w:color w:val="000000"/>
          <w:spacing w:val="-4"/>
          <w:szCs w:val="22"/>
          <w:lang w:eastAsia="cs-CZ" w:bidi="ar-SA"/>
        </w:rPr>
        <w:t>státního rozpočtu představují u národních prog</w:t>
      </w:r>
      <w:r w:rsidRPr="006C6975">
        <w:rPr>
          <w:rFonts w:eastAsia="Times New Roman" w:cs="Calibri"/>
          <w:color w:val="000000"/>
          <w:spacing w:val="-4"/>
          <w:szCs w:val="22"/>
          <w:lang w:eastAsia="cs-CZ" w:bidi="ar-SA"/>
        </w:rPr>
        <w:t xml:space="preserve">ramů </w:t>
      </w:r>
      <w:r>
        <w:rPr>
          <w:rFonts w:eastAsia="Times New Roman" w:cs="Calibri"/>
          <w:color w:val="000000"/>
          <w:spacing w:val="-4"/>
          <w:szCs w:val="22"/>
          <w:lang w:eastAsia="cs-CZ" w:bidi="ar-SA"/>
        </w:rPr>
        <w:t xml:space="preserve">podpory </w:t>
      </w:r>
      <w:r w:rsidRPr="006C6975">
        <w:rPr>
          <w:rFonts w:eastAsia="Times New Roman" w:cs="Calibri"/>
          <w:color w:val="000000"/>
          <w:spacing w:val="-4"/>
          <w:szCs w:val="22"/>
          <w:lang w:eastAsia="cs-CZ" w:bidi="ar-SA"/>
        </w:rPr>
        <w:t>2/3 zdrojů, na neveřejné zdroje z ČR a ze zahraničí připadá 1/3.</w:t>
      </w:r>
    </w:p>
    <w:p w14:paraId="5815A7DE" w14:textId="77777777" w:rsidR="00A33BBC" w:rsidRDefault="00A33BBC" w:rsidP="00A33BBC">
      <w:pPr>
        <w:spacing w:before="0" w:after="0" w:line="240" w:lineRule="auto"/>
        <w:jc w:val="left"/>
        <w:rPr>
          <w:lang w:bidi="ar-SA"/>
        </w:rPr>
      </w:pPr>
    </w:p>
    <w:p w14:paraId="51D5E56F" w14:textId="77777777" w:rsidR="00A33BBC" w:rsidRDefault="00A33BBC" w:rsidP="00A33BBC">
      <w:pPr>
        <w:spacing w:before="0" w:after="0" w:line="240" w:lineRule="auto"/>
        <w:jc w:val="left"/>
        <w:rPr>
          <w:rFonts w:eastAsia="Times New Roman" w:cs="Calibri"/>
          <w:color w:val="000000"/>
          <w:spacing w:val="0"/>
          <w:szCs w:val="22"/>
          <w:lang w:eastAsia="cs-CZ" w:bidi="ar-SA"/>
        </w:rPr>
      </w:pPr>
      <w:bookmarkStart w:id="64" w:name="_Toc5626495"/>
      <w:r w:rsidRPr="00570F07">
        <w:rPr>
          <w:b/>
          <w:szCs w:val="22"/>
        </w:rPr>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12</w:t>
      </w:r>
      <w:r w:rsidR="008A090D" w:rsidRPr="00570F07">
        <w:rPr>
          <w:b/>
          <w:szCs w:val="22"/>
        </w:rPr>
        <w:fldChar w:fldCharType="end"/>
      </w:r>
      <w:r w:rsidRPr="00570F07">
        <w:rPr>
          <w:b/>
          <w:szCs w:val="22"/>
        </w:rPr>
        <w:t xml:space="preserve"> </w:t>
      </w:r>
      <w:r w:rsidR="00FB0B15">
        <w:rPr>
          <w:b/>
          <w:szCs w:val="22"/>
        </w:rPr>
        <w:t>–</w:t>
      </w:r>
      <w:r w:rsidRPr="00570F07">
        <w:rPr>
          <w:b/>
          <w:szCs w:val="22"/>
        </w:rPr>
        <w:t xml:space="preserve"> </w:t>
      </w:r>
      <w:r w:rsidR="00FB0B15">
        <w:rPr>
          <w:rFonts w:eastAsia="Times New Roman" w:cs="Calibri"/>
          <w:color w:val="000000"/>
          <w:spacing w:val="0"/>
          <w:szCs w:val="22"/>
          <w:lang w:eastAsia="cs-CZ" w:bidi="ar-SA"/>
        </w:rPr>
        <w:t xml:space="preserve">Struktura financování </w:t>
      </w:r>
      <w:r w:rsidRPr="001574C6">
        <w:rPr>
          <w:rFonts w:eastAsia="Times New Roman" w:cs="Calibri"/>
          <w:color w:val="000000"/>
          <w:spacing w:val="0"/>
          <w:szCs w:val="22"/>
          <w:lang w:eastAsia="cs-CZ" w:bidi="ar-SA"/>
        </w:rPr>
        <w:t>Národní RIS3 strategie z národních programů podpory k</w:t>
      </w:r>
      <w:r w:rsidR="00FB0B15">
        <w:rPr>
          <w:rFonts w:eastAsia="Times New Roman" w:cs="Calibri"/>
          <w:color w:val="000000"/>
          <w:spacing w:val="0"/>
          <w:szCs w:val="22"/>
          <w:lang w:eastAsia="cs-CZ" w:bidi="ar-SA"/>
        </w:rPr>
        <w:t xml:space="preserve"> </w:t>
      </w:r>
      <w:r w:rsidRPr="001574C6">
        <w:rPr>
          <w:rFonts w:eastAsia="Times New Roman" w:cs="Calibri"/>
          <w:color w:val="000000"/>
          <w:spacing w:val="0"/>
          <w:szCs w:val="22"/>
          <w:lang w:eastAsia="cs-CZ" w:bidi="ar-SA"/>
        </w:rPr>
        <w:t>10/2018</w:t>
      </w:r>
      <w:bookmarkEnd w:id="64"/>
    </w:p>
    <w:p w14:paraId="15CFC1D9" w14:textId="77777777" w:rsidR="00A33BBC" w:rsidRPr="00365E59" w:rsidRDefault="00A33BBC" w:rsidP="00A33BBC">
      <w:pPr>
        <w:spacing w:before="0" w:after="0" w:line="240" w:lineRule="auto"/>
        <w:jc w:val="left"/>
        <w:rPr>
          <w:rFonts w:eastAsia="Times New Roman" w:cs="Calibri"/>
          <w:color w:val="000000"/>
          <w:spacing w:val="0"/>
          <w:szCs w:val="22"/>
          <w:lang w:eastAsia="cs-CZ" w:bidi="ar-SA"/>
        </w:rPr>
      </w:pPr>
    </w:p>
    <w:p w14:paraId="5E4C523C" w14:textId="77777777" w:rsidR="00A33BBC" w:rsidRDefault="00A33BBC" w:rsidP="00A33BBC">
      <w:pPr>
        <w:spacing w:before="0" w:after="0" w:line="240" w:lineRule="auto"/>
        <w:jc w:val="center"/>
        <w:rPr>
          <w:rFonts w:eastAsia="Times New Roman" w:cs="Calibri"/>
          <w:color w:val="000000"/>
          <w:spacing w:val="-4"/>
          <w:szCs w:val="22"/>
          <w:lang w:eastAsia="cs-CZ" w:bidi="ar-SA"/>
        </w:rPr>
      </w:pPr>
      <w:r w:rsidRPr="002776D7">
        <w:rPr>
          <w:noProof/>
          <w:szCs w:val="22"/>
          <w:lang w:eastAsia="cs-CZ" w:bidi="ar-SA"/>
        </w:rPr>
        <w:drawing>
          <wp:inline distT="0" distB="0" distL="0" distR="0" wp14:anchorId="10DD8417" wp14:editId="1D212D51">
            <wp:extent cx="5399405" cy="1783790"/>
            <wp:effectExtent l="19050" t="0" r="0" b="0"/>
            <wp:docPr id="206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srcRect/>
                    <a:stretch>
                      <a:fillRect/>
                    </a:stretch>
                  </pic:blipFill>
                  <pic:spPr bwMode="auto">
                    <a:xfrm>
                      <a:off x="0" y="0"/>
                      <a:ext cx="5399405" cy="1783790"/>
                    </a:xfrm>
                    <a:prstGeom prst="rect">
                      <a:avLst/>
                    </a:prstGeom>
                    <a:noFill/>
                    <a:ln w="9525">
                      <a:noFill/>
                      <a:miter lim="800000"/>
                      <a:headEnd/>
                      <a:tailEnd/>
                    </a:ln>
                  </pic:spPr>
                </pic:pic>
              </a:graphicData>
            </a:graphic>
          </wp:inline>
        </w:drawing>
      </w:r>
    </w:p>
    <w:p w14:paraId="30FBAEAD" w14:textId="77777777" w:rsidR="00A33BBC" w:rsidRPr="001B560C" w:rsidRDefault="00A33BBC" w:rsidP="00A33BBC">
      <w:pPr>
        <w:spacing w:before="0" w:after="0" w:line="240" w:lineRule="auto"/>
        <w:jc w:val="left"/>
        <w:rPr>
          <w:sz w:val="18"/>
          <w:szCs w:val="18"/>
          <w:lang w:bidi="ar-SA"/>
        </w:rPr>
      </w:pPr>
      <w:r w:rsidRPr="001B560C">
        <w:rPr>
          <w:sz w:val="18"/>
          <w:szCs w:val="18"/>
          <w:lang w:bidi="ar-SA"/>
        </w:rPr>
        <w:t xml:space="preserve">Zdroj: </w:t>
      </w:r>
      <w:r>
        <w:rPr>
          <w:sz w:val="18"/>
          <w:szCs w:val="18"/>
          <w:lang w:bidi="ar-SA"/>
        </w:rPr>
        <w:t>monitoring MPO, vlastní zpracování</w:t>
      </w:r>
    </w:p>
    <w:p w14:paraId="4304171B" w14:textId="77777777" w:rsidR="00360DE4" w:rsidRDefault="00360DE4" w:rsidP="00A33BBC">
      <w:pPr>
        <w:rPr>
          <w:rFonts w:eastAsia="Times New Roman" w:cs="Calibri"/>
          <w:color w:val="000000"/>
          <w:spacing w:val="-4"/>
          <w:szCs w:val="22"/>
          <w:lang w:eastAsia="cs-CZ" w:bidi="ar-SA"/>
        </w:rPr>
      </w:pPr>
    </w:p>
    <w:p w14:paraId="4268E562" w14:textId="77777777" w:rsidR="00A33BBC" w:rsidRDefault="00A33BBC" w:rsidP="00A33BBC">
      <w:pPr>
        <w:rPr>
          <w:rFonts w:eastAsia="Times New Roman" w:cs="Calibri"/>
          <w:color w:val="000000"/>
          <w:spacing w:val="-4"/>
          <w:szCs w:val="22"/>
          <w:lang w:eastAsia="cs-CZ" w:bidi="ar-SA"/>
        </w:rPr>
      </w:pPr>
      <w:r w:rsidRPr="0069381D">
        <w:rPr>
          <w:rFonts w:eastAsia="Times New Roman" w:cs="Calibri"/>
          <w:color w:val="000000"/>
          <w:spacing w:val="-4"/>
          <w:szCs w:val="22"/>
          <w:lang w:eastAsia="cs-CZ" w:bidi="ar-SA"/>
        </w:rPr>
        <w:t>Za období realizace Národní RIS3 strategie do 10/2018</w:t>
      </w:r>
      <w:r>
        <w:rPr>
          <w:rFonts w:eastAsia="Times New Roman" w:cs="Calibri"/>
          <w:color w:val="000000"/>
          <w:spacing w:val="-4"/>
          <w:szCs w:val="22"/>
          <w:lang w:eastAsia="cs-CZ" w:bidi="ar-SA"/>
        </w:rPr>
        <w:t xml:space="preserve"> bylo podpořeno celkem 764 projektů. Z toho nejvíce v programech Epsilon a TRIO. Jedná se o projekty v průměru okolo 10 mil. Kč, stejně jako v pro</w:t>
      </w:r>
      <w:r w:rsidR="00FB0B15">
        <w:rPr>
          <w:rFonts w:eastAsia="Times New Roman" w:cs="Calibri"/>
          <w:color w:val="000000"/>
          <w:spacing w:val="-4"/>
          <w:szCs w:val="22"/>
          <w:lang w:eastAsia="cs-CZ" w:bidi="ar-SA"/>
        </w:rPr>
        <w:t>g</w:t>
      </w:r>
      <w:r>
        <w:rPr>
          <w:rFonts w:eastAsia="Times New Roman" w:cs="Calibri"/>
          <w:color w:val="000000"/>
          <w:spacing w:val="-4"/>
          <w:szCs w:val="22"/>
          <w:lang w:eastAsia="cs-CZ" w:bidi="ar-SA"/>
        </w:rPr>
        <w:t>ramu Gama.</w:t>
      </w:r>
    </w:p>
    <w:p w14:paraId="4D34C5D4" w14:textId="77777777" w:rsidR="00A33BBC" w:rsidRDefault="00A33BBC" w:rsidP="00A33BBC">
      <w:pPr>
        <w:rPr>
          <w:rFonts w:eastAsia="Times New Roman" w:cs="Calibri"/>
          <w:color w:val="000000"/>
          <w:spacing w:val="-4"/>
          <w:szCs w:val="22"/>
          <w:lang w:eastAsia="cs-CZ" w:bidi="ar-SA"/>
        </w:rPr>
      </w:pPr>
      <w:r>
        <w:rPr>
          <w:rFonts w:eastAsia="Times New Roman" w:cs="Calibri"/>
          <w:color w:val="000000"/>
          <w:spacing w:val="-4"/>
          <w:szCs w:val="22"/>
          <w:lang w:eastAsia="cs-CZ" w:bidi="ar-SA"/>
        </w:rPr>
        <w:t>Naproti tomu v programu Centra excelence byly podpořeny relativně větší projekty, jejichž průměrná velikost byla zhruba desetinásobná.</w:t>
      </w:r>
    </w:p>
    <w:p w14:paraId="7C963F10" w14:textId="77777777" w:rsidR="007A2053" w:rsidRDefault="007A2053" w:rsidP="00A33BBC">
      <w:pPr>
        <w:spacing w:before="0" w:after="0" w:line="240" w:lineRule="auto"/>
        <w:jc w:val="left"/>
        <w:rPr>
          <w:rFonts w:cs="Arial-ItalicMT"/>
          <w:b/>
          <w:iCs/>
          <w:szCs w:val="22"/>
        </w:rPr>
      </w:pPr>
    </w:p>
    <w:p w14:paraId="2AFE3BFB" w14:textId="77777777" w:rsidR="007A2053" w:rsidRDefault="007A2053" w:rsidP="00A33BBC">
      <w:pPr>
        <w:spacing w:before="0" w:after="0" w:line="240" w:lineRule="auto"/>
        <w:jc w:val="left"/>
        <w:rPr>
          <w:rFonts w:cs="Arial-ItalicMT"/>
          <w:b/>
          <w:iCs/>
          <w:szCs w:val="22"/>
        </w:rPr>
      </w:pPr>
    </w:p>
    <w:p w14:paraId="764FC6B3" w14:textId="77777777" w:rsidR="00A33BBC" w:rsidRDefault="00A33BBC" w:rsidP="00A33BBC">
      <w:pPr>
        <w:spacing w:before="0" w:after="0" w:line="240" w:lineRule="auto"/>
        <w:jc w:val="left"/>
        <w:rPr>
          <w:rFonts w:eastAsia="Times New Roman" w:cs="Calibri"/>
          <w:i/>
          <w:color w:val="000000"/>
          <w:spacing w:val="0"/>
          <w:szCs w:val="22"/>
          <w:lang w:eastAsia="cs-CZ" w:bidi="ar-SA"/>
        </w:rPr>
      </w:pPr>
      <w:bookmarkStart w:id="65" w:name="_Toc5626522"/>
      <w:r w:rsidRPr="00EE5A5B">
        <w:rPr>
          <w:rFonts w:cs="Arial-ItalicMT"/>
          <w:b/>
          <w:iCs/>
          <w:szCs w:val="22"/>
        </w:rPr>
        <w:lastRenderedPageBreak/>
        <w:t xml:space="preserve">Tabulka č. </w:t>
      </w:r>
      <w:r w:rsidR="008A090D" w:rsidRPr="00EE5A5B">
        <w:rPr>
          <w:rFonts w:cs="Arial-ItalicMT"/>
          <w:b/>
          <w:iCs/>
          <w:szCs w:val="22"/>
        </w:rPr>
        <w:fldChar w:fldCharType="begin"/>
      </w:r>
      <w:r w:rsidRPr="00EE5A5B">
        <w:rPr>
          <w:rFonts w:cs="Arial-ItalicMT"/>
          <w:b/>
          <w:iCs/>
          <w:szCs w:val="22"/>
        </w:rPr>
        <w:instrText xml:space="preserve"> SEQ Tabulka_č._ \* ARABIC </w:instrText>
      </w:r>
      <w:r w:rsidR="008A090D" w:rsidRPr="00EE5A5B">
        <w:rPr>
          <w:rFonts w:cs="Arial-ItalicMT"/>
          <w:b/>
          <w:iCs/>
          <w:szCs w:val="22"/>
        </w:rPr>
        <w:fldChar w:fldCharType="separate"/>
      </w:r>
      <w:r w:rsidR="002309D5">
        <w:rPr>
          <w:rFonts w:cs="Arial-ItalicMT"/>
          <w:b/>
          <w:iCs/>
          <w:noProof/>
          <w:szCs w:val="22"/>
        </w:rPr>
        <w:t>13</w:t>
      </w:r>
      <w:r w:rsidR="008A090D" w:rsidRPr="00EE5A5B">
        <w:rPr>
          <w:rFonts w:cs="Arial-ItalicMT"/>
          <w:b/>
          <w:iCs/>
          <w:szCs w:val="22"/>
        </w:rPr>
        <w:fldChar w:fldCharType="end"/>
      </w:r>
      <w:r w:rsidRPr="00EE5A5B">
        <w:rPr>
          <w:rFonts w:cs="Arial-ItalicMT"/>
          <w:b/>
          <w:iCs/>
          <w:szCs w:val="22"/>
        </w:rPr>
        <w:t xml:space="preserve"> </w:t>
      </w:r>
      <w:r>
        <w:rPr>
          <w:rFonts w:cs="Arial-ItalicMT"/>
          <w:b/>
          <w:iCs/>
          <w:szCs w:val="22"/>
        </w:rPr>
        <w:t>–</w:t>
      </w:r>
      <w:r w:rsidRPr="00D66402">
        <w:rPr>
          <w:rFonts w:cs="Arial-ItalicMT"/>
          <w:iCs/>
          <w:szCs w:val="22"/>
        </w:rPr>
        <w:t xml:space="preserve"> </w:t>
      </w:r>
      <w:r w:rsidRPr="009B2B8A">
        <w:rPr>
          <w:rFonts w:eastAsia="Times New Roman" w:cs="Calibri"/>
          <w:i/>
          <w:color w:val="000000"/>
          <w:spacing w:val="0"/>
          <w:szCs w:val="22"/>
          <w:lang w:eastAsia="cs-CZ" w:bidi="ar-SA"/>
        </w:rPr>
        <w:t>P</w:t>
      </w:r>
      <w:r>
        <w:rPr>
          <w:rFonts w:eastAsia="Times New Roman" w:cs="Calibri"/>
          <w:i/>
          <w:color w:val="000000"/>
          <w:spacing w:val="0"/>
          <w:szCs w:val="22"/>
          <w:lang w:eastAsia="cs-CZ" w:bidi="ar-SA"/>
        </w:rPr>
        <w:t>očet a p</w:t>
      </w:r>
      <w:r w:rsidRPr="009B2B8A">
        <w:rPr>
          <w:rFonts w:eastAsia="Times New Roman" w:cs="Calibri"/>
          <w:i/>
          <w:color w:val="000000"/>
          <w:spacing w:val="0"/>
          <w:szCs w:val="22"/>
          <w:lang w:eastAsia="cs-CZ" w:bidi="ar-SA"/>
        </w:rPr>
        <w:t>růměrná velikost projektů v národních programech podpory</w:t>
      </w:r>
      <w:bookmarkEnd w:id="65"/>
    </w:p>
    <w:p w14:paraId="6D86BBE8" w14:textId="77777777" w:rsidR="00A33BBC" w:rsidRPr="009B2B8A" w:rsidRDefault="00A33BBC" w:rsidP="00A33BBC">
      <w:pPr>
        <w:spacing w:before="0" w:after="0" w:line="240" w:lineRule="auto"/>
        <w:jc w:val="left"/>
        <w:rPr>
          <w:rFonts w:eastAsia="Times New Roman" w:cs="Calibri"/>
          <w:i/>
          <w:color w:val="000000"/>
          <w:spacing w:val="0"/>
          <w:szCs w:val="22"/>
          <w:lang w:eastAsia="cs-CZ" w:bidi="ar-SA"/>
        </w:rPr>
      </w:pPr>
    </w:p>
    <w:tbl>
      <w:tblPr>
        <w:tblW w:w="8510" w:type="dxa"/>
        <w:tblInd w:w="65" w:type="dxa"/>
        <w:tblCellMar>
          <w:left w:w="70" w:type="dxa"/>
          <w:right w:w="70" w:type="dxa"/>
        </w:tblCellMar>
        <w:tblLook w:val="04A0" w:firstRow="1" w:lastRow="0" w:firstColumn="1" w:lastColumn="0" w:noHBand="0" w:noVBand="1"/>
      </w:tblPr>
      <w:tblGrid>
        <w:gridCol w:w="2132"/>
        <w:gridCol w:w="2409"/>
        <w:gridCol w:w="1560"/>
        <w:gridCol w:w="2409"/>
      </w:tblGrid>
      <w:tr w:rsidR="00A33BBC" w:rsidRPr="00E50C80" w14:paraId="790DEE78" w14:textId="77777777" w:rsidTr="00F10A9D">
        <w:trPr>
          <w:trHeight w:val="315"/>
        </w:trPr>
        <w:tc>
          <w:tcPr>
            <w:tcW w:w="2132" w:type="dxa"/>
            <w:tcBorders>
              <w:top w:val="single" w:sz="4" w:space="0" w:color="auto"/>
              <w:left w:val="single" w:sz="4" w:space="0" w:color="auto"/>
              <w:bottom w:val="single" w:sz="4" w:space="0" w:color="auto"/>
              <w:right w:val="single" w:sz="4" w:space="0" w:color="auto"/>
            </w:tcBorders>
            <w:shd w:val="clear" w:color="auto" w:fill="4F81BD"/>
            <w:hideMark/>
          </w:tcPr>
          <w:p w14:paraId="64E3AF49" w14:textId="77777777" w:rsidR="00A33BBC" w:rsidRPr="00E50C80" w:rsidRDefault="00A33BBC" w:rsidP="00F10A9D">
            <w:pPr>
              <w:spacing w:before="120" w:after="120" w:line="240" w:lineRule="auto"/>
              <w:jc w:val="left"/>
              <w:rPr>
                <w:rFonts w:eastAsia="Times New Roman" w:cs="Calibri"/>
                <w:b/>
                <w:bCs/>
                <w:color w:val="FFFFFF" w:themeColor="background1"/>
                <w:spacing w:val="0"/>
                <w:sz w:val="20"/>
                <w:lang w:eastAsia="cs-CZ" w:bidi="ar-SA"/>
              </w:rPr>
            </w:pPr>
            <w:r w:rsidRPr="00E50C80">
              <w:rPr>
                <w:rFonts w:eastAsia="Times New Roman" w:cs="Calibri"/>
                <w:b/>
                <w:bCs/>
                <w:color w:val="FFFFFF" w:themeColor="background1"/>
                <w:spacing w:val="0"/>
                <w:sz w:val="20"/>
                <w:lang w:eastAsia="cs-CZ" w:bidi="ar-SA"/>
              </w:rPr>
              <w:t>Program</w:t>
            </w:r>
          </w:p>
        </w:tc>
        <w:tc>
          <w:tcPr>
            <w:tcW w:w="2409" w:type="dxa"/>
            <w:tcBorders>
              <w:top w:val="single" w:sz="4" w:space="0" w:color="auto"/>
              <w:left w:val="nil"/>
              <w:bottom w:val="single" w:sz="4" w:space="0" w:color="auto"/>
              <w:right w:val="single" w:sz="4" w:space="0" w:color="auto"/>
            </w:tcBorders>
            <w:shd w:val="clear" w:color="auto" w:fill="4F81BD"/>
            <w:hideMark/>
          </w:tcPr>
          <w:p w14:paraId="0DC8750A" w14:textId="77777777" w:rsidR="00A33BBC" w:rsidRPr="00E50C80" w:rsidRDefault="00A33BBC" w:rsidP="00F10A9D">
            <w:pPr>
              <w:spacing w:before="120" w:after="120" w:line="240" w:lineRule="auto"/>
              <w:jc w:val="left"/>
              <w:rPr>
                <w:rFonts w:eastAsia="Times New Roman" w:cs="Calibri"/>
                <w:b/>
                <w:bCs/>
                <w:color w:val="FFFFFF" w:themeColor="background1"/>
                <w:spacing w:val="0"/>
                <w:sz w:val="20"/>
                <w:lang w:eastAsia="cs-CZ" w:bidi="ar-SA"/>
              </w:rPr>
            </w:pPr>
            <w:r w:rsidRPr="00E50C80">
              <w:rPr>
                <w:rFonts w:eastAsia="Times New Roman" w:cs="Calibri"/>
                <w:b/>
                <w:bCs/>
                <w:color w:val="FFFFFF" w:themeColor="background1"/>
                <w:spacing w:val="0"/>
                <w:sz w:val="20"/>
                <w:lang w:eastAsia="cs-CZ" w:bidi="ar-SA"/>
              </w:rPr>
              <w:t>Stav k 10/2018 (v mld. Kč)</w:t>
            </w:r>
          </w:p>
        </w:tc>
        <w:tc>
          <w:tcPr>
            <w:tcW w:w="1560" w:type="dxa"/>
            <w:tcBorders>
              <w:top w:val="single" w:sz="4" w:space="0" w:color="auto"/>
              <w:left w:val="nil"/>
              <w:bottom w:val="single" w:sz="4" w:space="0" w:color="auto"/>
              <w:right w:val="single" w:sz="4" w:space="0" w:color="auto"/>
            </w:tcBorders>
            <w:shd w:val="clear" w:color="auto" w:fill="4F81BD"/>
            <w:hideMark/>
          </w:tcPr>
          <w:p w14:paraId="5E3EBB3A" w14:textId="77777777" w:rsidR="00A33BBC" w:rsidRPr="00E50C80" w:rsidRDefault="00A33BBC" w:rsidP="00F10A9D">
            <w:pPr>
              <w:spacing w:before="120" w:after="120" w:line="240" w:lineRule="auto"/>
              <w:jc w:val="left"/>
              <w:rPr>
                <w:rFonts w:eastAsia="Times New Roman" w:cs="Calibri"/>
                <w:b/>
                <w:bCs/>
                <w:color w:val="FFFFFF" w:themeColor="background1"/>
                <w:spacing w:val="0"/>
                <w:sz w:val="20"/>
                <w:lang w:eastAsia="cs-CZ" w:bidi="ar-SA"/>
              </w:rPr>
            </w:pPr>
            <w:r w:rsidRPr="00E50C80">
              <w:rPr>
                <w:rFonts w:eastAsia="Times New Roman" w:cs="Calibri"/>
                <w:b/>
                <w:bCs/>
                <w:color w:val="FFFFFF" w:themeColor="background1"/>
                <w:spacing w:val="0"/>
                <w:sz w:val="20"/>
                <w:lang w:eastAsia="cs-CZ" w:bidi="ar-SA"/>
              </w:rPr>
              <w:t>Počet projektů</w:t>
            </w:r>
          </w:p>
        </w:tc>
        <w:tc>
          <w:tcPr>
            <w:tcW w:w="2409" w:type="dxa"/>
            <w:tcBorders>
              <w:top w:val="single" w:sz="4" w:space="0" w:color="auto"/>
              <w:left w:val="nil"/>
              <w:bottom w:val="single" w:sz="4" w:space="0" w:color="auto"/>
              <w:right w:val="single" w:sz="4" w:space="0" w:color="auto"/>
            </w:tcBorders>
            <w:shd w:val="clear" w:color="auto" w:fill="4F81BD"/>
            <w:hideMark/>
          </w:tcPr>
          <w:p w14:paraId="27A17B8F" w14:textId="77777777" w:rsidR="00A33BBC" w:rsidRPr="00E50C80" w:rsidRDefault="00A33BBC" w:rsidP="00F10A9D">
            <w:pPr>
              <w:spacing w:before="120" w:after="120" w:line="240" w:lineRule="auto"/>
              <w:jc w:val="left"/>
              <w:rPr>
                <w:rFonts w:eastAsia="Times New Roman" w:cs="Calibri"/>
                <w:b/>
                <w:bCs/>
                <w:color w:val="FFFFFF" w:themeColor="background1"/>
                <w:spacing w:val="0"/>
                <w:sz w:val="20"/>
                <w:lang w:eastAsia="cs-CZ" w:bidi="ar-SA"/>
              </w:rPr>
            </w:pPr>
            <w:r w:rsidRPr="00E50C80">
              <w:rPr>
                <w:rFonts w:eastAsia="Times New Roman" w:cs="Calibri"/>
                <w:b/>
                <w:bCs/>
                <w:color w:val="FFFFFF" w:themeColor="background1"/>
                <w:spacing w:val="0"/>
                <w:sz w:val="20"/>
                <w:lang w:eastAsia="cs-CZ" w:bidi="ar-SA"/>
              </w:rPr>
              <w:t>Průměr na projekt (mil. Kč)</w:t>
            </w:r>
          </w:p>
        </w:tc>
      </w:tr>
      <w:tr w:rsidR="00A33BBC" w:rsidRPr="00365E59" w14:paraId="56CCD357" w14:textId="77777777" w:rsidTr="00F10A9D">
        <w:trPr>
          <w:trHeight w:val="300"/>
        </w:trPr>
        <w:tc>
          <w:tcPr>
            <w:tcW w:w="2132" w:type="dxa"/>
            <w:tcBorders>
              <w:top w:val="nil"/>
              <w:left w:val="single" w:sz="4" w:space="0" w:color="auto"/>
              <w:bottom w:val="single" w:sz="4" w:space="0" w:color="auto"/>
              <w:right w:val="single" w:sz="4" w:space="0" w:color="auto"/>
            </w:tcBorders>
            <w:shd w:val="clear" w:color="auto" w:fill="auto"/>
            <w:hideMark/>
          </w:tcPr>
          <w:p w14:paraId="26826369" w14:textId="77777777" w:rsidR="00A33BBC" w:rsidRDefault="00A33BBC" w:rsidP="00F10A9D">
            <w:pPr>
              <w:spacing w:before="0" w:after="0" w:line="240" w:lineRule="auto"/>
              <w:rPr>
                <w:rFonts w:cs="Calibri"/>
                <w:color w:val="000000"/>
                <w:sz w:val="20"/>
              </w:rPr>
            </w:pPr>
            <w:r>
              <w:rPr>
                <w:rFonts w:cs="Calibri"/>
                <w:color w:val="000000"/>
                <w:sz w:val="20"/>
              </w:rPr>
              <w:t>Centra kompetence</w:t>
            </w:r>
          </w:p>
        </w:tc>
        <w:tc>
          <w:tcPr>
            <w:tcW w:w="2409" w:type="dxa"/>
            <w:tcBorders>
              <w:top w:val="nil"/>
              <w:left w:val="nil"/>
              <w:bottom w:val="single" w:sz="4" w:space="0" w:color="auto"/>
              <w:right w:val="single" w:sz="4" w:space="0" w:color="auto"/>
            </w:tcBorders>
            <w:shd w:val="clear" w:color="auto" w:fill="auto"/>
            <w:noWrap/>
            <w:vAlign w:val="bottom"/>
            <w:hideMark/>
          </w:tcPr>
          <w:p w14:paraId="732C89AF" w14:textId="77777777" w:rsidR="00A33BBC" w:rsidRDefault="00A33BBC" w:rsidP="00F10A9D">
            <w:pPr>
              <w:spacing w:before="0" w:after="0" w:line="240" w:lineRule="auto"/>
              <w:jc w:val="right"/>
              <w:rPr>
                <w:rFonts w:cs="Calibri"/>
                <w:color w:val="000000"/>
                <w:sz w:val="20"/>
              </w:rPr>
            </w:pPr>
            <w:r>
              <w:rPr>
                <w:rFonts w:cs="Calibri"/>
                <w:color w:val="000000"/>
                <w:sz w:val="20"/>
              </w:rPr>
              <w:t>3,93</w:t>
            </w:r>
          </w:p>
        </w:tc>
        <w:tc>
          <w:tcPr>
            <w:tcW w:w="1560" w:type="dxa"/>
            <w:tcBorders>
              <w:top w:val="nil"/>
              <w:left w:val="nil"/>
              <w:bottom w:val="single" w:sz="4" w:space="0" w:color="auto"/>
              <w:right w:val="single" w:sz="4" w:space="0" w:color="auto"/>
            </w:tcBorders>
            <w:shd w:val="clear" w:color="auto" w:fill="auto"/>
            <w:hideMark/>
          </w:tcPr>
          <w:p w14:paraId="0EAAF6EA" w14:textId="77777777" w:rsidR="00A33BBC" w:rsidRDefault="00A33BBC" w:rsidP="00F10A9D">
            <w:pPr>
              <w:spacing w:before="0" w:after="0" w:line="240" w:lineRule="auto"/>
              <w:jc w:val="right"/>
              <w:rPr>
                <w:rFonts w:cs="Calibri"/>
                <w:color w:val="000000"/>
                <w:sz w:val="20"/>
              </w:rPr>
            </w:pPr>
            <w:r>
              <w:rPr>
                <w:rFonts w:cs="Calibri"/>
                <w:color w:val="000000"/>
                <w:sz w:val="20"/>
              </w:rPr>
              <w:t>34</w:t>
            </w:r>
          </w:p>
        </w:tc>
        <w:tc>
          <w:tcPr>
            <w:tcW w:w="2409" w:type="dxa"/>
            <w:tcBorders>
              <w:top w:val="nil"/>
              <w:left w:val="nil"/>
              <w:bottom w:val="single" w:sz="4" w:space="0" w:color="auto"/>
              <w:right w:val="single" w:sz="4" w:space="0" w:color="auto"/>
            </w:tcBorders>
            <w:shd w:val="clear" w:color="auto" w:fill="auto"/>
            <w:hideMark/>
          </w:tcPr>
          <w:p w14:paraId="4FCF17B1" w14:textId="77777777" w:rsidR="00A33BBC" w:rsidRDefault="00A33BBC" w:rsidP="00F10A9D">
            <w:pPr>
              <w:spacing w:before="0" w:after="0" w:line="240" w:lineRule="auto"/>
              <w:jc w:val="right"/>
              <w:rPr>
                <w:rFonts w:cs="Calibri"/>
                <w:color w:val="000000"/>
                <w:sz w:val="20"/>
              </w:rPr>
            </w:pPr>
            <w:r>
              <w:rPr>
                <w:rFonts w:cs="Calibri"/>
                <w:color w:val="000000"/>
                <w:sz w:val="20"/>
              </w:rPr>
              <w:t>115,65</w:t>
            </w:r>
          </w:p>
        </w:tc>
      </w:tr>
      <w:tr w:rsidR="00A33BBC" w:rsidRPr="00365E59" w14:paraId="41D2101D" w14:textId="77777777" w:rsidTr="00F10A9D">
        <w:trPr>
          <w:trHeight w:val="300"/>
        </w:trPr>
        <w:tc>
          <w:tcPr>
            <w:tcW w:w="2132" w:type="dxa"/>
            <w:tcBorders>
              <w:top w:val="nil"/>
              <w:left w:val="single" w:sz="4" w:space="0" w:color="auto"/>
              <w:bottom w:val="single" w:sz="4" w:space="0" w:color="auto"/>
              <w:right w:val="single" w:sz="4" w:space="0" w:color="auto"/>
            </w:tcBorders>
            <w:shd w:val="clear" w:color="auto" w:fill="auto"/>
            <w:hideMark/>
          </w:tcPr>
          <w:p w14:paraId="0AD49BFB" w14:textId="77777777" w:rsidR="00A33BBC" w:rsidRDefault="00A33BBC" w:rsidP="00F10A9D">
            <w:pPr>
              <w:spacing w:before="0" w:after="0" w:line="240" w:lineRule="auto"/>
              <w:rPr>
                <w:rFonts w:cs="Calibri"/>
                <w:color w:val="000000"/>
                <w:sz w:val="20"/>
              </w:rPr>
            </w:pPr>
            <w:r>
              <w:rPr>
                <w:rFonts w:cs="Calibri"/>
                <w:color w:val="000000"/>
                <w:sz w:val="20"/>
              </w:rPr>
              <w:t>EPSILON</w:t>
            </w:r>
          </w:p>
        </w:tc>
        <w:tc>
          <w:tcPr>
            <w:tcW w:w="2409" w:type="dxa"/>
            <w:tcBorders>
              <w:top w:val="nil"/>
              <w:left w:val="nil"/>
              <w:bottom w:val="single" w:sz="4" w:space="0" w:color="auto"/>
              <w:right w:val="single" w:sz="4" w:space="0" w:color="auto"/>
            </w:tcBorders>
            <w:shd w:val="clear" w:color="auto" w:fill="auto"/>
            <w:noWrap/>
            <w:vAlign w:val="bottom"/>
            <w:hideMark/>
          </w:tcPr>
          <w:p w14:paraId="1970AAD4" w14:textId="77777777" w:rsidR="00A33BBC" w:rsidRDefault="00A33BBC" w:rsidP="00F10A9D">
            <w:pPr>
              <w:spacing w:before="0" w:after="0" w:line="240" w:lineRule="auto"/>
              <w:jc w:val="right"/>
              <w:rPr>
                <w:rFonts w:cs="Calibri"/>
                <w:color w:val="000000"/>
                <w:sz w:val="20"/>
              </w:rPr>
            </w:pPr>
            <w:r>
              <w:rPr>
                <w:rFonts w:cs="Calibri"/>
                <w:color w:val="000000"/>
                <w:sz w:val="20"/>
              </w:rPr>
              <w:t>3,46</w:t>
            </w:r>
          </w:p>
        </w:tc>
        <w:tc>
          <w:tcPr>
            <w:tcW w:w="1560" w:type="dxa"/>
            <w:tcBorders>
              <w:top w:val="nil"/>
              <w:left w:val="nil"/>
              <w:bottom w:val="single" w:sz="4" w:space="0" w:color="auto"/>
              <w:right w:val="single" w:sz="4" w:space="0" w:color="auto"/>
            </w:tcBorders>
            <w:shd w:val="clear" w:color="auto" w:fill="auto"/>
            <w:hideMark/>
          </w:tcPr>
          <w:p w14:paraId="125634CD" w14:textId="77777777" w:rsidR="00A33BBC" w:rsidRDefault="00A33BBC" w:rsidP="00F10A9D">
            <w:pPr>
              <w:spacing w:before="0" w:after="0" w:line="240" w:lineRule="auto"/>
              <w:jc w:val="right"/>
              <w:rPr>
                <w:rFonts w:cs="Calibri"/>
                <w:color w:val="000000"/>
                <w:sz w:val="20"/>
              </w:rPr>
            </w:pPr>
            <w:r>
              <w:rPr>
                <w:rFonts w:cs="Calibri"/>
                <w:color w:val="000000"/>
                <w:sz w:val="20"/>
              </w:rPr>
              <w:t>350</w:t>
            </w:r>
          </w:p>
        </w:tc>
        <w:tc>
          <w:tcPr>
            <w:tcW w:w="2409" w:type="dxa"/>
            <w:tcBorders>
              <w:top w:val="nil"/>
              <w:left w:val="nil"/>
              <w:bottom w:val="single" w:sz="4" w:space="0" w:color="auto"/>
              <w:right w:val="single" w:sz="4" w:space="0" w:color="auto"/>
            </w:tcBorders>
            <w:shd w:val="clear" w:color="auto" w:fill="auto"/>
            <w:hideMark/>
          </w:tcPr>
          <w:p w14:paraId="10344F47" w14:textId="77777777" w:rsidR="00A33BBC" w:rsidRDefault="00A33BBC" w:rsidP="00F10A9D">
            <w:pPr>
              <w:spacing w:before="0" w:after="0" w:line="240" w:lineRule="auto"/>
              <w:jc w:val="right"/>
              <w:rPr>
                <w:rFonts w:cs="Calibri"/>
                <w:color w:val="000000"/>
                <w:sz w:val="20"/>
              </w:rPr>
            </w:pPr>
            <w:r>
              <w:rPr>
                <w:rFonts w:cs="Calibri"/>
                <w:color w:val="000000"/>
                <w:sz w:val="20"/>
              </w:rPr>
              <w:t>9,88</w:t>
            </w:r>
          </w:p>
        </w:tc>
      </w:tr>
      <w:tr w:rsidR="00A33BBC" w:rsidRPr="00365E59" w14:paraId="1B6885AA" w14:textId="77777777" w:rsidTr="00F10A9D">
        <w:trPr>
          <w:trHeight w:val="300"/>
        </w:trPr>
        <w:tc>
          <w:tcPr>
            <w:tcW w:w="2132" w:type="dxa"/>
            <w:tcBorders>
              <w:top w:val="nil"/>
              <w:left w:val="single" w:sz="4" w:space="0" w:color="auto"/>
              <w:bottom w:val="single" w:sz="4" w:space="0" w:color="auto"/>
              <w:right w:val="single" w:sz="4" w:space="0" w:color="auto"/>
            </w:tcBorders>
            <w:shd w:val="clear" w:color="auto" w:fill="auto"/>
            <w:hideMark/>
          </w:tcPr>
          <w:p w14:paraId="32C100A7" w14:textId="77777777" w:rsidR="00A33BBC" w:rsidRDefault="00A33BBC" w:rsidP="00F10A9D">
            <w:pPr>
              <w:spacing w:before="0" w:after="0" w:line="240" w:lineRule="auto"/>
              <w:rPr>
                <w:rFonts w:cs="Calibri"/>
                <w:color w:val="000000"/>
                <w:sz w:val="20"/>
              </w:rPr>
            </w:pPr>
            <w:r>
              <w:rPr>
                <w:rFonts w:cs="Calibri"/>
                <w:color w:val="000000"/>
                <w:sz w:val="20"/>
              </w:rPr>
              <w:t>GAMA</w:t>
            </w:r>
          </w:p>
        </w:tc>
        <w:tc>
          <w:tcPr>
            <w:tcW w:w="2409" w:type="dxa"/>
            <w:tcBorders>
              <w:top w:val="nil"/>
              <w:left w:val="nil"/>
              <w:bottom w:val="single" w:sz="4" w:space="0" w:color="auto"/>
              <w:right w:val="single" w:sz="4" w:space="0" w:color="auto"/>
            </w:tcBorders>
            <w:shd w:val="clear" w:color="auto" w:fill="auto"/>
            <w:noWrap/>
            <w:vAlign w:val="bottom"/>
            <w:hideMark/>
          </w:tcPr>
          <w:p w14:paraId="3142D186" w14:textId="77777777" w:rsidR="00A33BBC" w:rsidRDefault="00A33BBC" w:rsidP="00F10A9D">
            <w:pPr>
              <w:spacing w:before="0" w:after="0" w:line="240" w:lineRule="auto"/>
              <w:jc w:val="right"/>
              <w:rPr>
                <w:rFonts w:cs="Calibri"/>
                <w:color w:val="000000"/>
                <w:sz w:val="20"/>
              </w:rPr>
            </w:pPr>
            <w:r>
              <w:rPr>
                <w:rFonts w:cs="Calibri"/>
                <w:color w:val="000000"/>
                <w:sz w:val="20"/>
              </w:rPr>
              <w:t>0,43</w:t>
            </w:r>
          </w:p>
        </w:tc>
        <w:tc>
          <w:tcPr>
            <w:tcW w:w="1560" w:type="dxa"/>
            <w:tcBorders>
              <w:top w:val="nil"/>
              <w:left w:val="nil"/>
              <w:bottom w:val="single" w:sz="4" w:space="0" w:color="auto"/>
              <w:right w:val="single" w:sz="4" w:space="0" w:color="auto"/>
            </w:tcBorders>
            <w:shd w:val="clear" w:color="auto" w:fill="auto"/>
            <w:hideMark/>
          </w:tcPr>
          <w:p w14:paraId="6B6CC6C3" w14:textId="77777777" w:rsidR="00A33BBC" w:rsidRDefault="00A33BBC" w:rsidP="00F10A9D">
            <w:pPr>
              <w:spacing w:before="0" w:after="0" w:line="240" w:lineRule="auto"/>
              <w:jc w:val="right"/>
              <w:rPr>
                <w:rFonts w:cs="Calibri"/>
                <w:color w:val="000000"/>
                <w:sz w:val="20"/>
              </w:rPr>
            </w:pPr>
            <w:r>
              <w:rPr>
                <w:rFonts w:cs="Calibri"/>
                <w:color w:val="000000"/>
                <w:sz w:val="20"/>
              </w:rPr>
              <w:t>34</w:t>
            </w:r>
          </w:p>
        </w:tc>
        <w:tc>
          <w:tcPr>
            <w:tcW w:w="2409" w:type="dxa"/>
            <w:tcBorders>
              <w:top w:val="nil"/>
              <w:left w:val="nil"/>
              <w:bottom w:val="single" w:sz="4" w:space="0" w:color="auto"/>
              <w:right w:val="single" w:sz="4" w:space="0" w:color="auto"/>
            </w:tcBorders>
            <w:shd w:val="clear" w:color="auto" w:fill="auto"/>
            <w:hideMark/>
          </w:tcPr>
          <w:p w14:paraId="471212D0" w14:textId="77777777" w:rsidR="00A33BBC" w:rsidRDefault="00A33BBC" w:rsidP="00F10A9D">
            <w:pPr>
              <w:spacing w:before="0" w:after="0" w:line="240" w:lineRule="auto"/>
              <w:jc w:val="right"/>
              <w:rPr>
                <w:rFonts w:cs="Calibri"/>
                <w:color w:val="000000"/>
                <w:sz w:val="20"/>
              </w:rPr>
            </w:pPr>
            <w:r>
              <w:rPr>
                <w:rFonts w:cs="Calibri"/>
                <w:color w:val="000000"/>
                <w:sz w:val="20"/>
              </w:rPr>
              <w:t>12,77</w:t>
            </w:r>
          </w:p>
        </w:tc>
      </w:tr>
      <w:tr w:rsidR="00A33BBC" w:rsidRPr="00365E59" w14:paraId="618C6185" w14:textId="77777777" w:rsidTr="00F10A9D">
        <w:trPr>
          <w:trHeight w:val="300"/>
        </w:trPr>
        <w:tc>
          <w:tcPr>
            <w:tcW w:w="2132" w:type="dxa"/>
            <w:tcBorders>
              <w:top w:val="nil"/>
              <w:left w:val="single" w:sz="4" w:space="0" w:color="auto"/>
              <w:bottom w:val="single" w:sz="4" w:space="0" w:color="auto"/>
              <w:right w:val="single" w:sz="4" w:space="0" w:color="auto"/>
            </w:tcBorders>
            <w:shd w:val="clear" w:color="auto" w:fill="auto"/>
            <w:hideMark/>
          </w:tcPr>
          <w:p w14:paraId="13DC84E8" w14:textId="77777777" w:rsidR="00A33BBC" w:rsidRDefault="00A33BBC" w:rsidP="00F10A9D">
            <w:pPr>
              <w:spacing w:before="0" w:after="0" w:line="240" w:lineRule="auto"/>
              <w:rPr>
                <w:rFonts w:cs="Calibri"/>
                <w:color w:val="000000"/>
                <w:sz w:val="20"/>
              </w:rPr>
            </w:pPr>
            <w:r>
              <w:rPr>
                <w:rFonts w:cs="Calibri"/>
                <w:color w:val="000000"/>
                <w:sz w:val="20"/>
              </w:rPr>
              <w:t>TRIO</w:t>
            </w:r>
          </w:p>
        </w:tc>
        <w:tc>
          <w:tcPr>
            <w:tcW w:w="2409" w:type="dxa"/>
            <w:tcBorders>
              <w:top w:val="nil"/>
              <w:left w:val="nil"/>
              <w:bottom w:val="single" w:sz="4" w:space="0" w:color="auto"/>
              <w:right w:val="single" w:sz="4" w:space="0" w:color="auto"/>
            </w:tcBorders>
            <w:shd w:val="clear" w:color="auto" w:fill="auto"/>
            <w:noWrap/>
            <w:vAlign w:val="bottom"/>
            <w:hideMark/>
          </w:tcPr>
          <w:p w14:paraId="0DE369F6" w14:textId="77777777" w:rsidR="00A33BBC" w:rsidRDefault="00A33BBC" w:rsidP="00F10A9D">
            <w:pPr>
              <w:spacing w:before="0" w:after="0" w:line="240" w:lineRule="auto"/>
              <w:jc w:val="right"/>
              <w:rPr>
                <w:rFonts w:cs="Calibri"/>
                <w:color w:val="000000"/>
                <w:sz w:val="20"/>
              </w:rPr>
            </w:pPr>
            <w:r>
              <w:rPr>
                <w:rFonts w:cs="Calibri"/>
                <w:color w:val="000000"/>
                <w:sz w:val="20"/>
              </w:rPr>
              <w:t>3,62</w:t>
            </w:r>
          </w:p>
        </w:tc>
        <w:tc>
          <w:tcPr>
            <w:tcW w:w="1560" w:type="dxa"/>
            <w:tcBorders>
              <w:top w:val="nil"/>
              <w:left w:val="nil"/>
              <w:bottom w:val="single" w:sz="4" w:space="0" w:color="auto"/>
              <w:right w:val="single" w:sz="4" w:space="0" w:color="auto"/>
            </w:tcBorders>
            <w:shd w:val="clear" w:color="auto" w:fill="auto"/>
            <w:hideMark/>
          </w:tcPr>
          <w:p w14:paraId="6864C640" w14:textId="77777777" w:rsidR="00A33BBC" w:rsidRDefault="00A33BBC" w:rsidP="00F10A9D">
            <w:pPr>
              <w:spacing w:before="0" w:after="0" w:line="240" w:lineRule="auto"/>
              <w:jc w:val="right"/>
              <w:rPr>
                <w:rFonts w:cs="Calibri"/>
                <w:color w:val="000000"/>
                <w:sz w:val="20"/>
              </w:rPr>
            </w:pPr>
            <w:r>
              <w:rPr>
                <w:rFonts w:cs="Calibri"/>
                <w:color w:val="000000"/>
                <w:sz w:val="20"/>
              </w:rPr>
              <w:t>346</w:t>
            </w:r>
          </w:p>
        </w:tc>
        <w:tc>
          <w:tcPr>
            <w:tcW w:w="2409" w:type="dxa"/>
            <w:tcBorders>
              <w:top w:val="nil"/>
              <w:left w:val="nil"/>
              <w:bottom w:val="single" w:sz="4" w:space="0" w:color="auto"/>
              <w:right w:val="single" w:sz="4" w:space="0" w:color="auto"/>
            </w:tcBorders>
            <w:shd w:val="clear" w:color="auto" w:fill="auto"/>
            <w:hideMark/>
          </w:tcPr>
          <w:p w14:paraId="7D1674D1" w14:textId="77777777" w:rsidR="00A33BBC" w:rsidRDefault="00A33BBC" w:rsidP="00F10A9D">
            <w:pPr>
              <w:spacing w:before="0" w:after="0" w:line="240" w:lineRule="auto"/>
              <w:jc w:val="right"/>
              <w:rPr>
                <w:rFonts w:cs="Calibri"/>
                <w:color w:val="000000"/>
                <w:sz w:val="20"/>
              </w:rPr>
            </w:pPr>
            <w:r>
              <w:rPr>
                <w:rFonts w:cs="Calibri"/>
                <w:color w:val="000000"/>
                <w:sz w:val="20"/>
              </w:rPr>
              <w:t>10,46</w:t>
            </w:r>
          </w:p>
        </w:tc>
      </w:tr>
      <w:tr w:rsidR="00A33BBC" w:rsidRPr="00365E59" w14:paraId="38BC8E28" w14:textId="77777777" w:rsidTr="00F10A9D">
        <w:trPr>
          <w:trHeight w:val="300"/>
        </w:trPr>
        <w:tc>
          <w:tcPr>
            <w:tcW w:w="2132" w:type="dxa"/>
            <w:tcBorders>
              <w:top w:val="nil"/>
              <w:left w:val="single" w:sz="4" w:space="0" w:color="auto"/>
              <w:bottom w:val="single" w:sz="4" w:space="0" w:color="auto"/>
              <w:right w:val="single" w:sz="4" w:space="0" w:color="auto"/>
            </w:tcBorders>
            <w:shd w:val="clear" w:color="auto" w:fill="auto"/>
            <w:hideMark/>
          </w:tcPr>
          <w:p w14:paraId="61862539" w14:textId="77777777" w:rsidR="00A33BBC" w:rsidRDefault="00A33BBC" w:rsidP="00F10A9D">
            <w:pPr>
              <w:spacing w:before="0" w:after="0" w:line="240" w:lineRule="auto"/>
              <w:rPr>
                <w:rFonts w:cs="Calibri"/>
                <w:b/>
                <w:bCs/>
                <w:color w:val="000000"/>
                <w:sz w:val="20"/>
              </w:rPr>
            </w:pPr>
            <w:r>
              <w:rPr>
                <w:rFonts w:cs="Calibri"/>
                <w:b/>
                <w:bCs/>
                <w:color w:val="000000"/>
                <w:sz w:val="20"/>
              </w:rPr>
              <w:t>RIS3</w:t>
            </w:r>
          </w:p>
        </w:tc>
        <w:tc>
          <w:tcPr>
            <w:tcW w:w="2409" w:type="dxa"/>
            <w:tcBorders>
              <w:top w:val="nil"/>
              <w:left w:val="nil"/>
              <w:bottom w:val="single" w:sz="4" w:space="0" w:color="auto"/>
              <w:right w:val="single" w:sz="4" w:space="0" w:color="auto"/>
            </w:tcBorders>
            <w:shd w:val="clear" w:color="auto" w:fill="auto"/>
            <w:hideMark/>
          </w:tcPr>
          <w:p w14:paraId="724EE9D9" w14:textId="77777777" w:rsidR="00A33BBC" w:rsidRDefault="00A33BBC" w:rsidP="00F10A9D">
            <w:pPr>
              <w:spacing w:before="0" w:after="0" w:line="240" w:lineRule="auto"/>
              <w:jc w:val="right"/>
              <w:rPr>
                <w:rFonts w:cs="Calibri"/>
                <w:b/>
                <w:bCs/>
                <w:color w:val="000000"/>
                <w:sz w:val="20"/>
              </w:rPr>
            </w:pPr>
            <w:r>
              <w:rPr>
                <w:rFonts w:cs="Calibri"/>
                <w:b/>
                <w:bCs/>
                <w:color w:val="000000"/>
                <w:sz w:val="20"/>
              </w:rPr>
              <w:t>11,44</w:t>
            </w:r>
          </w:p>
        </w:tc>
        <w:tc>
          <w:tcPr>
            <w:tcW w:w="1560" w:type="dxa"/>
            <w:tcBorders>
              <w:top w:val="nil"/>
              <w:left w:val="nil"/>
              <w:bottom w:val="single" w:sz="4" w:space="0" w:color="auto"/>
              <w:right w:val="single" w:sz="4" w:space="0" w:color="auto"/>
            </w:tcBorders>
            <w:shd w:val="clear" w:color="auto" w:fill="auto"/>
            <w:hideMark/>
          </w:tcPr>
          <w:p w14:paraId="586E2A7C" w14:textId="77777777" w:rsidR="00A33BBC" w:rsidRDefault="00A33BBC" w:rsidP="00F10A9D">
            <w:pPr>
              <w:spacing w:before="0" w:after="0" w:line="240" w:lineRule="auto"/>
              <w:jc w:val="right"/>
              <w:rPr>
                <w:rFonts w:cs="Calibri"/>
                <w:b/>
                <w:bCs/>
                <w:color w:val="000000"/>
                <w:sz w:val="20"/>
              </w:rPr>
            </w:pPr>
            <w:r>
              <w:rPr>
                <w:rFonts w:cs="Calibri"/>
                <w:b/>
                <w:bCs/>
                <w:color w:val="000000"/>
                <w:sz w:val="20"/>
              </w:rPr>
              <w:t>764</w:t>
            </w:r>
          </w:p>
        </w:tc>
        <w:tc>
          <w:tcPr>
            <w:tcW w:w="2409" w:type="dxa"/>
            <w:tcBorders>
              <w:top w:val="nil"/>
              <w:left w:val="nil"/>
              <w:bottom w:val="single" w:sz="4" w:space="0" w:color="auto"/>
              <w:right w:val="single" w:sz="4" w:space="0" w:color="auto"/>
            </w:tcBorders>
            <w:shd w:val="clear" w:color="auto" w:fill="auto"/>
            <w:hideMark/>
          </w:tcPr>
          <w:p w14:paraId="1560AC3E" w14:textId="77777777" w:rsidR="00A33BBC" w:rsidRPr="002776D7" w:rsidRDefault="00A33BBC" w:rsidP="00F10A9D">
            <w:pPr>
              <w:spacing w:before="0" w:after="0" w:line="240" w:lineRule="auto"/>
              <w:jc w:val="right"/>
              <w:rPr>
                <w:rFonts w:cs="Calibri"/>
                <w:b/>
                <w:color w:val="000000"/>
                <w:sz w:val="20"/>
              </w:rPr>
            </w:pPr>
            <w:r w:rsidRPr="002776D7">
              <w:rPr>
                <w:rFonts w:cs="Calibri"/>
                <w:b/>
                <w:color w:val="000000"/>
                <w:sz w:val="20"/>
              </w:rPr>
              <w:t>14,98</w:t>
            </w:r>
          </w:p>
        </w:tc>
      </w:tr>
    </w:tbl>
    <w:p w14:paraId="34A660E2" w14:textId="77777777" w:rsidR="00A33BBC" w:rsidRPr="001B560C" w:rsidRDefault="00A33BBC" w:rsidP="00A33BBC">
      <w:pPr>
        <w:spacing w:before="0" w:after="0" w:line="240" w:lineRule="auto"/>
        <w:jc w:val="left"/>
        <w:rPr>
          <w:sz w:val="18"/>
          <w:szCs w:val="18"/>
          <w:lang w:bidi="ar-SA"/>
        </w:rPr>
      </w:pPr>
      <w:r w:rsidRPr="001B560C">
        <w:rPr>
          <w:sz w:val="18"/>
          <w:szCs w:val="18"/>
          <w:lang w:bidi="ar-SA"/>
        </w:rPr>
        <w:t xml:space="preserve">Zdroj: </w:t>
      </w:r>
      <w:r>
        <w:rPr>
          <w:sz w:val="18"/>
          <w:szCs w:val="18"/>
          <w:lang w:bidi="ar-SA"/>
        </w:rPr>
        <w:t>monitoring MPO, vlastní zpracování</w:t>
      </w:r>
    </w:p>
    <w:p w14:paraId="6DDF9B76" w14:textId="77777777" w:rsidR="00A33BBC" w:rsidRDefault="00A33BBC" w:rsidP="00A33BBC">
      <w:pPr>
        <w:spacing w:before="0" w:after="0" w:line="240" w:lineRule="auto"/>
        <w:jc w:val="left"/>
        <w:rPr>
          <w:rFonts w:eastAsia="Times New Roman" w:cs="Calibri"/>
          <w:color w:val="000000"/>
          <w:spacing w:val="0"/>
          <w:szCs w:val="22"/>
          <w:lang w:eastAsia="cs-CZ" w:bidi="ar-SA"/>
        </w:rPr>
      </w:pPr>
    </w:p>
    <w:p w14:paraId="365BE425" w14:textId="77777777" w:rsidR="00A33BBC" w:rsidRDefault="00A33BBC" w:rsidP="00A33BBC">
      <w:pPr>
        <w:spacing w:before="0" w:after="0" w:line="240" w:lineRule="auto"/>
        <w:jc w:val="left"/>
        <w:rPr>
          <w:rFonts w:eastAsia="Times New Roman" w:cs="Calibri"/>
          <w:color w:val="000000"/>
          <w:spacing w:val="-4"/>
          <w:szCs w:val="22"/>
          <w:lang w:eastAsia="cs-CZ" w:bidi="ar-SA"/>
        </w:rPr>
      </w:pPr>
    </w:p>
    <w:p w14:paraId="7E4C3707" w14:textId="77777777" w:rsidR="00A33BBC" w:rsidRPr="000B6205" w:rsidRDefault="00605061" w:rsidP="00A33BBC">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bookmarkStart w:id="66" w:name="_Toc5626460"/>
      <w:r>
        <w:rPr>
          <w:rFonts w:asciiTheme="majorHAnsi" w:eastAsiaTheme="majorEastAsia" w:hAnsiTheme="majorHAnsi" w:cstheme="majorHAnsi"/>
          <w:i/>
          <w:caps/>
          <w:color w:val="004B8D"/>
          <w:spacing w:val="0"/>
          <w:sz w:val="22"/>
          <w:lang w:bidi="ar-SA"/>
        </w:rPr>
        <w:t xml:space="preserve">4.1.4 </w:t>
      </w:r>
      <w:r w:rsidR="00A33BBC" w:rsidRPr="000B6205">
        <w:rPr>
          <w:rFonts w:asciiTheme="majorHAnsi" w:eastAsiaTheme="majorEastAsia" w:hAnsiTheme="majorHAnsi" w:cstheme="majorHAnsi"/>
          <w:i/>
          <w:caps/>
          <w:color w:val="004B8D"/>
          <w:spacing w:val="0"/>
          <w:sz w:val="22"/>
          <w:lang w:bidi="ar-SA"/>
        </w:rPr>
        <w:t xml:space="preserve">Příspěvek </w:t>
      </w:r>
      <w:r w:rsidR="00577620">
        <w:rPr>
          <w:rFonts w:asciiTheme="majorHAnsi" w:eastAsiaTheme="majorEastAsia" w:hAnsiTheme="majorHAnsi" w:cstheme="majorHAnsi"/>
          <w:i/>
          <w:caps/>
          <w:color w:val="004B8D"/>
          <w:spacing w:val="0"/>
          <w:sz w:val="22"/>
          <w:lang w:bidi="ar-SA"/>
        </w:rPr>
        <w:t>národn</w:t>
      </w:r>
      <w:r w:rsidR="00A33BBC" w:rsidRPr="000B6205">
        <w:rPr>
          <w:rFonts w:asciiTheme="majorHAnsi" w:eastAsiaTheme="majorEastAsia" w:hAnsiTheme="majorHAnsi" w:cstheme="majorHAnsi"/>
          <w:i/>
          <w:caps/>
          <w:color w:val="004B8D"/>
          <w:spacing w:val="0"/>
          <w:sz w:val="22"/>
          <w:lang w:bidi="ar-SA"/>
        </w:rPr>
        <w:t xml:space="preserve">ích programů </w:t>
      </w:r>
      <w:r w:rsidR="00577620">
        <w:rPr>
          <w:rFonts w:asciiTheme="majorHAnsi" w:eastAsiaTheme="majorEastAsia" w:hAnsiTheme="majorHAnsi" w:cstheme="majorHAnsi"/>
          <w:i/>
          <w:caps/>
          <w:color w:val="004B8D"/>
          <w:spacing w:val="0"/>
          <w:sz w:val="22"/>
          <w:lang w:bidi="ar-SA"/>
        </w:rPr>
        <w:t xml:space="preserve">podpory </w:t>
      </w:r>
      <w:r w:rsidR="00A33BBC" w:rsidRPr="000B6205">
        <w:rPr>
          <w:rFonts w:asciiTheme="majorHAnsi" w:eastAsiaTheme="majorEastAsia" w:hAnsiTheme="majorHAnsi" w:cstheme="majorHAnsi"/>
          <w:i/>
          <w:caps/>
          <w:color w:val="004B8D"/>
          <w:spacing w:val="0"/>
          <w:sz w:val="22"/>
          <w:lang w:bidi="ar-SA"/>
        </w:rPr>
        <w:t>k naplňování Národní RIS3 strategie</w:t>
      </w:r>
      <w:bookmarkEnd w:id="66"/>
      <w:r w:rsidR="00A33BBC" w:rsidRPr="000B6205">
        <w:rPr>
          <w:rFonts w:asciiTheme="majorHAnsi" w:eastAsiaTheme="majorEastAsia" w:hAnsiTheme="majorHAnsi" w:cstheme="majorHAnsi"/>
          <w:i/>
          <w:caps/>
          <w:color w:val="004B8D"/>
          <w:spacing w:val="0"/>
          <w:sz w:val="22"/>
          <w:lang w:bidi="ar-SA"/>
        </w:rPr>
        <w:t xml:space="preserve"> </w:t>
      </w:r>
    </w:p>
    <w:p w14:paraId="4CE814B5" w14:textId="77777777" w:rsidR="00A33BBC" w:rsidRDefault="00A33BBC" w:rsidP="00A33BBC">
      <w:pPr>
        <w:rPr>
          <w:lang w:bidi="ar-SA"/>
        </w:rPr>
      </w:pPr>
      <w:r w:rsidRPr="00D15E05">
        <w:rPr>
          <w:rFonts w:eastAsia="Times New Roman" w:cs="Calibri"/>
          <w:color w:val="000000"/>
          <w:spacing w:val="-4"/>
          <w:szCs w:val="22"/>
          <w:lang w:eastAsia="cs-CZ" w:bidi="ar-SA"/>
        </w:rPr>
        <w:t xml:space="preserve">Plnění finančního plánu Národní RIS3 strategie v jednotlivých klíčových oblastech změn k 10/2018 je zřejmé z následujícího grafu. </w:t>
      </w:r>
      <w:r w:rsidRPr="00D15E05">
        <w:rPr>
          <w:lang w:bidi="ar-SA"/>
        </w:rPr>
        <w:t xml:space="preserve">Za období realizace Národní RIS3 strategie </w:t>
      </w:r>
      <w:r w:rsidR="00FB0B15">
        <w:rPr>
          <w:lang w:bidi="ar-SA"/>
        </w:rPr>
        <w:t>k</w:t>
      </w:r>
      <w:r w:rsidRPr="00D15E05">
        <w:rPr>
          <w:lang w:bidi="ar-SA"/>
        </w:rPr>
        <w:t xml:space="preserve"> 10/2018 činila výše podpory celkem 116,2 % plánovaného finančního objemu.</w:t>
      </w:r>
    </w:p>
    <w:p w14:paraId="7E6F45AF" w14:textId="77777777" w:rsidR="00A33BBC" w:rsidRDefault="00A33BBC" w:rsidP="00A33BBC">
      <w:pPr>
        <w:spacing w:before="0" w:after="0" w:line="240" w:lineRule="auto"/>
        <w:jc w:val="left"/>
        <w:rPr>
          <w:rFonts w:eastAsia="Times New Roman" w:cs="Calibri"/>
          <w:b/>
          <w:color w:val="000000"/>
          <w:spacing w:val="0"/>
          <w:szCs w:val="22"/>
          <w:lang w:eastAsia="cs-CZ" w:bidi="ar-SA"/>
        </w:rPr>
      </w:pPr>
      <w:bookmarkStart w:id="67" w:name="_Toc5626496"/>
      <w:r w:rsidRPr="00570F07">
        <w:rPr>
          <w:b/>
          <w:szCs w:val="22"/>
        </w:rPr>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13</w:t>
      </w:r>
      <w:r w:rsidR="008A090D" w:rsidRPr="00570F07">
        <w:rPr>
          <w:b/>
          <w:szCs w:val="22"/>
        </w:rPr>
        <w:fldChar w:fldCharType="end"/>
      </w:r>
      <w:r w:rsidRPr="00570F07">
        <w:rPr>
          <w:b/>
          <w:szCs w:val="22"/>
        </w:rPr>
        <w:t xml:space="preserve"> </w:t>
      </w:r>
      <w:r>
        <w:rPr>
          <w:b/>
          <w:szCs w:val="22"/>
        </w:rPr>
        <w:t>–</w:t>
      </w:r>
      <w:r w:rsidRPr="00570F07">
        <w:rPr>
          <w:b/>
          <w:szCs w:val="22"/>
        </w:rPr>
        <w:t xml:space="preserve"> </w:t>
      </w:r>
      <w:r w:rsidRPr="00F86910">
        <w:rPr>
          <w:rFonts w:eastAsia="Times New Roman" w:cs="Calibri"/>
          <w:color w:val="000000"/>
          <w:spacing w:val="0"/>
          <w:szCs w:val="22"/>
          <w:lang w:eastAsia="cs-CZ" w:bidi="ar-SA"/>
        </w:rPr>
        <w:t>Financování klíčových oblastí změn v národních programech podpory k 10/2018</w:t>
      </w:r>
      <w:bookmarkEnd w:id="67"/>
    </w:p>
    <w:p w14:paraId="0DD133ED" w14:textId="77777777" w:rsidR="00A33BBC" w:rsidRDefault="00A33BBC" w:rsidP="00A33BBC">
      <w:pPr>
        <w:spacing w:before="0" w:after="0" w:line="240" w:lineRule="auto"/>
        <w:jc w:val="left"/>
        <w:rPr>
          <w:rFonts w:eastAsia="Times New Roman" w:cs="Calibri"/>
          <w:b/>
          <w:color w:val="000000"/>
          <w:spacing w:val="0"/>
          <w:szCs w:val="22"/>
          <w:lang w:eastAsia="cs-CZ" w:bidi="ar-SA"/>
        </w:rPr>
      </w:pPr>
    </w:p>
    <w:p w14:paraId="2DC1CD8F" w14:textId="77777777" w:rsidR="00A33BBC" w:rsidRDefault="00A33BBC" w:rsidP="00A33BBC">
      <w:pPr>
        <w:spacing w:before="0" w:after="0" w:line="240" w:lineRule="auto"/>
        <w:jc w:val="left"/>
        <w:rPr>
          <w:lang w:bidi="ar-SA"/>
        </w:rPr>
      </w:pPr>
      <w:r w:rsidRPr="000A78D9">
        <w:rPr>
          <w:noProof/>
          <w:lang w:eastAsia="cs-CZ" w:bidi="ar-SA"/>
        </w:rPr>
        <w:drawing>
          <wp:inline distT="0" distB="0" distL="0" distR="0" wp14:anchorId="1CD4306E" wp14:editId="1352A1B0">
            <wp:extent cx="5399405" cy="2929647"/>
            <wp:effectExtent l="19050" t="0" r="0" b="0"/>
            <wp:docPr id="20"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srcRect/>
                    <a:stretch>
                      <a:fillRect/>
                    </a:stretch>
                  </pic:blipFill>
                  <pic:spPr bwMode="auto">
                    <a:xfrm>
                      <a:off x="0" y="0"/>
                      <a:ext cx="5399405" cy="2929647"/>
                    </a:xfrm>
                    <a:prstGeom prst="rect">
                      <a:avLst/>
                    </a:prstGeom>
                    <a:noFill/>
                    <a:ln w="9525">
                      <a:noFill/>
                      <a:miter lim="800000"/>
                      <a:headEnd/>
                      <a:tailEnd/>
                    </a:ln>
                  </pic:spPr>
                </pic:pic>
              </a:graphicData>
            </a:graphic>
          </wp:inline>
        </w:drawing>
      </w:r>
    </w:p>
    <w:p w14:paraId="7EF7C535" w14:textId="77777777" w:rsidR="00A33BBC" w:rsidRPr="001B560C" w:rsidRDefault="00A33BBC" w:rsidP="00A33BBC">
      <w:pPr>
        <w:spacing w:before="0" w:after="0" w:line="240" w:lineRule="auto"/>
        <w:jc w:val="left"/>
        <w:rPr>
          <w:sz w:val="18"/>
          <w:szCs w:val="18"/>
          <w:lang w:bidi="ar-SA"/>
        </w:rPr>
      </w:pPr>
      <w:r w:rsidRPr="001B560C">
        <w:rPr>
          <w:sz w:val="18"/>
          <w:szCs w:val="18"/>
          <w:lang w:bidi="ar-SA"/>
        </w:rPr>
        <w:t xml:space="preserve">Zdroj: </w:t>
      </w:r>
      <w:r>
        <w:rPr>
          <w:sz w:val="18"/>
          <w:szCs w:val="18"/>
          <w:lang w:bidi="ar-SA"/>
        </w:rPr>
        <w:t>monitoring MPO, vlastní zpracování</w:t>
      </w:r>
    </w:p>
    <w:p w14:paraId="02556F6E" w14:textId="77777777" w:rsidR="00A33BBC" w:rsidRDefault="00A33BBC" w:rsidP="00A33BBC">
      <w:pPr>
        <w:rPr>
          <w:rFonts w:eastAsia="Times New Roman" w:cs="Calibri"/>
          <w:color w:val="000000"/>
          <w:spacing w:val="-4"/>
          <w:szCs w:val="22"/>
          <w:lang w:eastAsia="cs-CZ" w:bidi="ar-SA"/>
        </w:rPr>
      </w:pPr>
      <w:r>
        <w:rPr>
          <w:lang w:bidi="ar-SA"/>
        </w:rPr>
        <w:t xml:space="preserve">Národní programy podpory se zaměřují pouze na čtyři ze šesti oblastí klíčových změn Národní RIS3 strategie. Prakticky ve všech čtyřech oblastech klíčových změn byly plánované finanční prostředky překročeny. Nejvíce dotovanou oblastí je </w:t>
      </w:r>
      <w:r w:rsidRPr="001B560C">
        <w:rPr>
          <w:rFonts w:eastAsia="Times New Roman" w:cs="Calibri"/>
          <w:color w:val="000000"/>
          <w:spacing w:val="-4"/>
          <w:szCs w:val="22"/>
          <w:lang w:eastAsia="cs-CZ" w:bidi="ar-SA"/>
        </w:rPr>
        <w:t>klíčov</w:t>
      </w:r>
      <w:r>
        <w:rPr>
          <w:rFonts w:eastAsia="Times New Roman" w:cs="Calibri"/>
          <w:color w:val="000000"/>
          <w:spacing w:val="-4"/>
          <w:szCs w:val="22"/>
          <w:lang w:eastAsia="cs-CZ" w:bidi="ar-SA"/>
        </w:rPr>
        <w:t>á</w:t>
      </w:r>
      <w:r w:rsidRPr="001B560C">
        <w:rPr>
          <w:rFonts w:eastAsia="Times New Roman" w:cs="Calibri"/>
          <w:color w:val="000000"/>
          <w:spacing w:val="-4"/>
          <w:szCs w:val="22"/>
          <w:lang w:eastAsia="cs-CZ" w:bidi="ar-SA"/>
        </w:rPr>
        <w:t xml:space="preserve"> oblast změn C. Ekonomické přínosy VaVaI</w:t>
      </w:r>
      <w:r>
        <w:rPr>
          <w:rFonts w:eastAsia="Times New Roman" w:cs="Calibri"/>
          <w:color w:val="000000"/>
          <w:spacing w:val="-4"/>
          <w:szCs w:val="22"/>
          <w:lang w:eastAsia="cs-CZ" w:bidi="ar-SA"/>
        </w:rPr>
        <w:t>, druhou pak A. Inovační výkonnost firem.</w:t>
      </w:r>
    </w:p>
    <w:p w14:paraId="22A0751A" w14:textId="3E585366" w:rsidR="00CD498B" w:rsidRDefault="00CD498B" w:rsidP="00CD498B">
      <w:pPr>
        <w:rPr>
          <w:rFonts w:eastAsia="Times New Roman" w:cs="Calibri"/>
          <w:color w:val="000000"/>
          <w:spacing w:val="-4"/>
          <w:szCs w:val="22"/>
          <w:lang w:eastAsia="cs-CZ" w:bidi="ar-SA"/>
        </w:rPr>
      </w:pPr>
      <w:r>
        <w:rPr>
          <w:rFonts w:eastAsia="Times New Roman" w:cs="Calibri"/>
          <w:color w:val="000000"/>
          <w:spacing w:val="-4"/>
          <w:szCs w:val="22"/>
          <w:lang w:eastAsia="cs-CZ" w:bidi="ar-SA"/>
        </w:rPr>
        <w:t>Alokace finančních prostředků z národních programů podpory na jednotlivé cíle Národní RIS3 strategie a</w:t>
      </w:r>
      <w:r w:rsidR="00360DE4">
        <w:rPr>
          <w:rFonts w:eastAsia="Times New Roman" w:cs="Calibri"/>
          <w:color w:val="000000"/>
          <w:spacing w:val="-4"/>
          <w:szCs w:val="22"/>
          <w:lang w:eastAsia="cs-CZ" w:bidi="ar-SA"/>
        </w:rPr>
        <w:t> </w:t>
      </w:r>
      <w:r>
        <w:rPr>
          <w:rFonts w:eastAsia="Times New Roman" w:cs="Calibri"/>
          <w:color w:val="000000"/>
          <w:spacing w:val="-4"/>
          <w:szCs w:val="22"/>
          <w:lang w:eastAsia="cs-CZ" w:bidi="ar-SA"/>
        </w:rPr>
        <w:t xml:space="preserve">aplikační odvětví je detailně rozvedena v Příloze  </w:t>
      </w:r>
      <w:r w:rsidR="00F659D4">
        <w:rPr>
          <w:rFonts w:eastAsia="Times New Roman" w:cs="Calibri"/>
          <w:color w:val="000000"/>
          <w:spacing w:val="-4"/>
          <w:szCs w:val="22"/>
          <w:lang w:eastAsia="cs-CZ" w:bidi="ar-SA"/>
        </w:rPr>
        <w:t>6.</w:t>
      </w:r>
    </w:p>
    <w:p w14:paraId="00B92B63" w14:textId="77777777" w:rsidR="009A4F55" w:rsidRDefault="009A4F55">
      <w:pPr>
        <w:spacing w:before="0" w:after="0" w:line="240" w:lineRule="auto"/>
        <w:jc w:val="left"/>
        <w:rPr>
          <w:rFonts w:asciiTheme="majorHAnsi" w:eastAsiaTheme="majorEastAsia" w:hAnsiTheme="majorHAnsi" w:cstheme="majorBidi"/>
          <w:b/>
          <w:bCs/>
          <w:color w:val="004B8D"/>
          <w:spacing w:val="0"/>
          <w:sz w:val="26"/>
          <w:szCs w:val="26"/>
          <w:lang w:bidi="ar-SA"/>
        </w:rPr>
      </w:pPr>
    </w:p>
    <w:p w14:paraId="5AC21D46" w14:textId="77777777" w:rsidR="00A33BBC" w:rsidRDefault="00A33BBC" w:rsidP="00A33BBC">
      <w:pPr>
        <w:pStyle w:val="Nadpis2"/>
        <w:keepNext/>
        <w:keepLines/>
        <w:numPr>
          <w:ilvl w:val="0"/>
          <w:numId w:val="0"/>
        </w:numPr>
        <w:pBdr>
          <w:top w:val="none" w:sz="0" w:space="0" w:color="auto"/>
          <w:left w:val="none" w:sz="0" w:space="0" w:color="auto"/>
        </w:pBdr>
        <w:shd w:val="clear" w:color="auto" w:fill="auto"/>
        <w:spacing w:before="200" w:after="0"/>
        <w:rPr>
          <w:rFonts w:asciiTheme="majorHAnsi" w:eastAsiaTheme="majorEastAsia" w:hAnsiTheme="majorHAnsi" w:cstheme="majorBidi"/>
          <w:bCs/>
          <w:color w:val="004B8D"/>
          <w:spacing w:val="0"/>
          <w:szCs w:val="26"/>
          <w:lang w:bidi="ar-SA"/>
        </w:rPr>
      </w:pPr>
      <w:bookmarkStart w:id="68" w:name="_Toc5626461"/>
      <w:r>
        <w:rPr>
          <w:rFonts w:asciiTheme="majorHAnsi" w:eastAsiaTheme="majorEastAsia" w:hAnsiTheme="majorHAnsi" w:cstheme="majorBidi"/>
          <w:bCs/>
          <w:color w:val="004B8D"/>
          <w:spacing w:val="0"/>
          <w:szCs w:val="26"/>
          <w:lang w:bidi="ar-SA"/>
        </w:rPr>
        <w:lastRenderedPageBreak/>
        <w:t>4.2</w:t>
      </w:r>
      <w:r w:rsidRPr="00A806AB">
        <w:rPr>
          <w:rFonts w:asciiTheme="majorHAnsi" w:eastAsiaTheme="majorEastAsia" w:hAnsiTheme="majorHAnsi" w:cstheme="majorBidi"/>
          <w:bCs/>
          <w:color w:val="004B8D"/>
          <w:spacing w:val="0"/>
          <w:szCs w:val="26"/>
          <w:lang w:bidi="ar-SA"/>
        </w:rPr>
        <w:t xml:space="preserve"> </w:t>
      </w:r>
      <w:r>
        <w:rPr>
          <w:rFonts w:asciiTheme="majorHAnsi" w:eastAsiaTheme="majorEastAsia" w:hAnsiTheme="majorHAnsi" w:cstheme="majorBidi"/>
          <w:bCs/>
          <w:color w:val="004B8D"/>
          <w:spacing w:val="0"/>
          <w:szCs w:val="26"/>
          <w:lang w:bidi="ar-SA"/>
        </w:rPr>
        <w:t>Věcný pokrok při naplňování Národní RIS3 strategie</w:t>
      </w:r>
      <w:bookmarkEnd w:id="68"/>
    </w:p>
    <w:p w14:paraId="63E9FBFE" w14:textId="77777777" w:rsidR="00A33BBC" w:rsidRPr="00475806" w:rsidRDefault="00A33BBC" w:rsidP="00A33BBC">
      <w:r>
        <w:rPr>
          <w:lang w:bidi="ar-SA"/>
        </w:rPr>
        <w:t xml:space="preserve">Ke kvantifikaci míry </w:t>
      </w:r>
      <w:r w:rsidR="00190EC3">
        <w:rPr>
          <w:lang w:bidi="ar-SA"/>
        </w:rPr>
        <w:t xml:space="preserve">věcného </w:t>
      </w:r>
      <w:r>
        <w:rPr>
          <w:lang w:bidi="ar-SA"/>
        </w:rPr>
        <w:t xml:space="preserve">pokroku při dosahování cílů strategie slouží indikátory. </w:t>
      </w:r>
      <w:r w:rsidRPr="00475806">
        <w:t>Národní RIS3 strategie</w:t>
      </w:r>
      <w:r>
        <w:rPr>
          <w:rStyle w:val="Znakapoznpodarou"/>
        </w:rPr>
        <w:footnoteReference w:id="47"/>
      </w:r>
      <w:r w:rsidRPr="00475806">
        <w:t xml:space="preserve"> definuje 3 úrovně indikátorů pro</w:t>
      </w:r>
    </w:p>
    <w:p w14:paraId="2275245B" w14:textId="77777777" w:rsidR="00A33BBC" w:rsidRDefault="00A33BBC" w:rsidP="00D10F0D">
      <w:pPr>
        <w:pStyle w:val="Odstavecseseznamem"/>
        <w:numPr>
          <w:ilvl w:val="0"/>
          <w:numId w:val="18"/>
        </w:numPr>
        <w:rPr>
          <w:lang w:bidi="ar-SA"/>
        </w:rPr>
      </w:pPr>
      <w:r>
        <w:rPr>
          <w:lang w:bidi="ar-SA"/>
        </w:rPr>
        <w:t>klíčové oblasti změn (19 kontextových indikátorů NČI)</w:t>
      </w:r>
    </w:p>
    <w:p w14:paraId="03006BD0" w14:textId="77777777" w:rsidR="00A33BBC" w:rsidRDefault="00A33BBC" w:rsidP="00D10F0D">
      <w:pPr>
        <w:pStyle w:val="Odstavecseseznamem"/>
        <w:numPr>
          <w:ilvl w:val="0"/>
          <w:numId w:val="18"/>
        </w:numPr>
        <w:rPr>
          <w:lang w:bidi="ar-SA"/>
        </w:rPr>
      </w:pPr>
      <w:r>
        <w:rPr>
          <w:lang w:bidi="ar-SA"/>
        </w:rPr>
        <w:t>strategické cíle (25 indikátorů výsledku NČI plus 10 mimo NČI)</w:t>
      </w:r>
    </w:p>
    <w:p w14:paraId="4234B93E" w14:textId="77777777" w:rsidR="00A33BBC" w:rsidRDefault="00A33BBC" w:rsidP="00D10F0D">
      <w:pPr>
        <w:pStyle w:val="Odstavecseseznamem"/>
        <w:numPr>
          <w:ilvl w:val="0"/>
          <w:numId w:val="18"/>
        </w:numPr>
        <w:rPr>
          <w:lang w:bidi="ar-SA"/>
        </w:rPr>
      </w:pPr>
      <w:r>
        <w:rPr>
          <w:lang w:bidi="ar-SA"/>
        </w:rPr>
        <w:t>specifické cíle (154 indikátorů NČI plus 9 mimo NČI)</w:t>
      </w:r>
    </w:p>
    <w:p w14:paraId="7BB35F95" w14:textId="06590D05" w:rsidR="00A33BBC" w:rsidRDefault="00A33BBC" w:rsidP="00A33BBC">
      <w:pPr>
        <w:rPr>
          <w:lang w:bidi="ar-SA"/>
        </w:rPr>
      </w:pPr>
      <w:r>
        <w:rPr>
          <w:lang w:bidi="ar-SA"/>
        </w:rPr>
        <w:t>Celkem strategie definuje 217 indikátorů. Vzhledem k tomu, že Národní RIS3 strategie je naplňována prostřednictvím operačních programů a národních programů podpory je sledování indikátorů probl</w:t>
      </w:r>
      <w:r w:rsidR="00190EC3">
        <w:rPr>
          <w:lang w:bidi="ar-SA"/>
        </w:rPr>
        <w:t>e</w:t>
      </w:r>
      <w:r>
        <w:rPr>
          <w:lang w:bidi="ar-SA"/>
        </w:rPr>
        <w:t>m</w:t>
      </w:r>
      <w:r w:rsidR="00190EC3">
        <w:rPr>
          <w:lang w:bidi="ar-SA"/>
        </w:rPr>
        <w:t>atické</w:t>
      </w:r>
      <w:r>
        <w:rPr>
          <w:lang w:bidi="ar-SA"/>
        </w:rPr>
        <w:t xml:space="preserve">. </w:t>
      </w:r>
    </w:p>
    <w:p w14:paraId="2B66C2BA" w14:textId="6231934F" w:rsidR="00A33BBC" w:rsidRDefault="00A33BBC" w:rsidP="00A33BBC">
      <w:pPr>
        <w:rPr>
          <w:lang w:bidi="ar-SA"/>
        </w:rPr>
      </w:pPr>
      <w:r>
        <w:rPr>
          <w:lang w:bidi="ar-SA"/>
        </w:rPr>
        <w:t xml:space="preserve">K dispozici jsou pouze </w:t>
      </w:r>
      <w:r w:rsidR="009F631F">
        <w:rPr>
          <w:lang w:bidi="ar-SA"/>
        </w:rPr>
        <w:t xml:space="preserve">vybrané </w:t>
      </w:r>
      <w:r>
        <w:rPr>
          <w:lang w:bidi="ar-SA"/>
        </w:rPr>
        <w:t xml:space="preserve">indikátory specifických cílů </w:t>
      </w:r>
      <w:r w:rsidR="009F631F">
        <w:rPr>
          <w:lang w:bidi="ar-SA"/>
        </w:rPr>
        <w:t xml:space="preserve">sledované v operačních </w:t>
      </w:r>
      <w:r>
        <w:rPr>
          <w:lang w:bidi="ar-SA"/>
        </w:rPr>
        <w:t>program</w:t>
      </w:r>
      <w:r w:rsidR="009F631F">
        <w:rPr>
          <w:lang w:bidi="ar-SA"/>
        </w:rPr>
        <w:t>ech.</w:t>
      </w:r>
      <w:r w:rsidR="00190EC3">
        <w:rPr>
          <w:lang w:bidi="ar-SA"/>
        </w:rPr>
        <w:t xml:space="preserve"> </w:t>
      </w:r>
      <w:r>
        <w:rPr>
          <w:lang w:bidi="ar-SA"/>
        </w:rPr>
        <w:t xml:space="preserve">Údaje k indikátorům, poskytnuté k evaluaci a týkající se národních programů podpory, lze </w:t>
      </w:r>
      <w:r w:rsidR="00A510FD">
        <w:rPr>
          <w:lang w:bidi="ar-SA"/>
        </w:rPr>
        <w:t xml:space="preserve">těžko </w:t>
      </w:r>
      <w:r>
        <w:rPr>
          <w:lang w:bidi="ar-SA"/>
        </w:rPr>
        <w:t xml:space="preserve">identifikovat </w:t>
      </w:r>
      <w:r w:rsidR="00A510FD">
        <w:rPr>
          <w:lang w:bidi="ar-SA"/>
        </w:rPr>
        <w:t xml:space="preserve">ve vazbě </w:t>
      </w:r>
      <w:r>
        <w:rPr>
          <w:lang w:bidi="ar-SA"/>
        </w:rPr>
        <w:t>s konkrétním specifickým cílem, ale jsou společným údajem pro více specifických cílů.</w:t>
      </w:r>
      <w:r w:rsidR="009F631F">
        <w:rPr>
          <w:lang w:bidi="ar-SA"/>
        </w:rPr>
        <w:t xml:space="preserve"> </w:t>
      </w:r>
      <w:r w:rsidR="00A510FD">
        <w:rPr>
          <w:lang w:bidi="ar-SA"/>
        </w:rPr>
        <w:t>Č</w:t>
      </w:r>
      <w:r>
        <w:rPr>
          <w:lang w:bidi="ar-SA"/>
        </w:rPr>
        <w:t xml:space="preserve">ást cílových hodnot indikátorů </w:t>
      </w:r>
      <w:r w:rsidR="00A510FD">
        <w:rPr>
          <w:lang w:bidi="ar-SA"/>
        </w:rPr>
        <w:t xml:space="preserve">není </w:t>
      </w:r>
      <w:r>
        <w:rPr>
          <w:lang w:bidi="ar-SA"/>
        </w:rPr>
        <w:t xml:space="preserve">kvantifikována a odvodit věcný pokrok </w:t>
      </w:r>
      <w:r w:rsidR="00A510FD">
        <w:rPr>
          <w:lang w:bidi="ar-SA"/>
        </w:rPr>
        <w:t xml:space="preserve">lze pouze </w:t>
      </w:r>
      <w:r>
        <w:rPr>
          <w:lang w:bidi="ar-SA"/>
        </w:rPr>
        <w:t>z jejich vývoje</w:t>
      </w:r>
      <w:r w:rsidR="00A510FD">
        <w:rPr>
          <w:lang w:bidi="ar-SA"/>
        </w:rPr>
        <w:t>.</w:t>
      </w:r>
      <w:r>
        <w:rPr>
          <w:lang w:bidi="ar-SA"/>
        </w:rPr>
        <w:t>.</w:t>
      </w:r>
    </w:p>
    <w:p w14:paraId="20492D1E" w14:textId="01D71F52" w:rsidR="00A33BBC" w:rsidRDefault="00A33BBC" w:rsidP="00A33BBC">
      <w:pPr>
        <w:rPr>
          <w:lang w:bidi="ar-SA"/>
        </w:rPr>
      </w:pPr>
      <w:r>
        <w:rPr>
          <w:lang w:bidi="ar-SA"/>
        </w:rPr>
        <w:t>Z dostupných indikátorů ke specifickým cílům jednotlivých klíčových oblastí změn Národní RIS3 strategie byly sestavena grafy vývoje mezi roky 10.2017 a 10.2018</w:t>
      </w:r>
      <w:r w:rsidR="009F631F">
        <w:rPr>
          <w:lang w:bidi="ar-SA"/>
        </w:rPr>
        <w:t xml:space="preserve"> (kapitola 4.2.2 a</w:t>
      </w:r>
      <w:r w:rsidR="00A510FD">
        <w:rPr>
          <w:lang w:bidi="ar-SA"/>
        </w:rPr>
        <w:t> </w:t>
      </w:r>
      <w:r w:rsidR="009F631F">
        <w:rPr>
          <w:lang w:bidi="ar-SA"/>
        </w:rPr>
        <w:t>4.2.3)</w:t>
      </w:r>
      <w:r>
        <w:rPr>
          <w:lang w:bidi="ar-SA"/>
        </w:rPr>
        <w:t>. Přeplnění indikátoru na více než 250 % nebylo vzhledem k čitelnosti grafů znázorněno.</w:t>
      </w:r>
      <w:r w:rsidR="009F631F">
        <w:rPr>
          <w:lang w:bidi="ar-SA"/>
        </w:rPr>
        <w:t xml:space="preserve"> </w:t>
      </w:r>
      <w:r>
        <w:rPr>
          <w:lang w:bidi="ar-SA"/>
        </w:rPr>
        <w:t>Velká část indikátorů již přesáhla 100 % cílové hodnoty</w:t>
      </w:r>
      <w:r w:rsidR="006D5E01">
        <w:rPr>
          <w:lang w:bidi="ar-SA"/>
        </w:rPr>
        <w:t xml:space="preserve">. </w:t>
      </w:r>
    </w:p>
    <w:p w14:paraId="32549FAE" w14:textId="77777777" w:rsidR="00A33BBC" w:rsidRDefault="00A33BBC" w:rsidP="00A33BBC">
      <w:pPr>
        <w:rPr>
          <w:lang w:bidi="ar-SA"/>
        </w:rPr>
      </w:pPr>
    </w:p>
    <w:p w14:paraId="737EB07F" w14:textId="77777777" w:rsidR="00A33BBC" w:rsidRDefault="00A33BBC" w:rsidP="00A33BBC">
      <w:pPr>
        <w:spacing w:before="0" w:after="0" w:line="240" w:lineRule="auto"/>
        <w:jc w:val="left"/>
        <w:rPr>
          <w:rFonts w:asciiTheme="majorHAnsi" w:eastAsiaTheme="majorEastAsia" w:hAnsiTheme="majorHAnsi" w:cstheme="majorHAnsi"/>
          <w:i/>
          <w:caps/>
          <w:color w:val="004B8D"/>
          <w:spacing w:val="0"/>
          <w:szCs w:val="22"/>
          <w:lang w:bidi="ar-SA"/>
        </w:rPr>
      </w:pPr>
      <w:r>
        <w:rPr>
          <w:rFonts w:asciiTheme="majorHAnsi" w:eastAsiaTheme="majorEastAsia" w:hAnsiTheme="majorHAnsi" w:cstheme="majorHAnsi"/>
          <w:i/>
          <w:caps/>
          <w:color w:val="004B8D"/>
          <w:spacing w:val="0"/>
          <w:lang w:bidi="ar-SA"/>
        </w:rPr>
        <w:br w:type="page"/>
      </w:r>
    </w:p>
    <w:p w14:paraId="5E45F39E" w14:textId="77777777" w:rsidR="00A33BBC" w:rsidRPr="00023C75" w:rsidRDefault="00605061" w:rsidP="00A33BBC">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bookmarkStart w:id="69" w:name="_Toc5626462"/>
      <w:r>
        <w:rPr>
          <w:rFonts w:asciiTheme="majorHAnsi" w:eastAsiaTheme="majorEastAsia" w:hAnsiTheme="majorHAnsi" w:cstheme="majorHAnsi"/>
          <w:i/>
          <w:caps/>
          <w:color w:val="004B8D"/>
          <w:spacing w:val="0"/>
          <w:sz w:val="22"/>
          <w:lang w:bidi="ar-SA"/>
        </w:rPr>
        <w:lastRenderedPageBreak/>
        <w:t xml:space="preserve">4.2.1 </w:t>
      </w:r>
      <w:r w:rsidR="00A33BBC">
        <w:rPr>
          <w:rFonts w:asciiTheme="majorHAnsi" w:eastAsiaTheme="majorEastAsia" w:hAnsiTheme="majorHAnsi" w:cstheme="majorHAnsi"/>
          <w:i/>
          <w:caps/>
          <w:color w:val="004B8D"/>
          <w:spacing w:val="0"/>
          <w:sz w:val="22"/>
          <w:lang w:bidi="ar-SA"/>
        </w:rPr>
        <w:t>INDIKÁTORY KLÍČOVÝCH OBLASTÍ ZMĚN A STRATEGICKÝCH CÍLŮ</w:t>
      </w:r>
      <w:bookmarkEnd w:id="69"/>
    </w:p>
    <w:p w14:paraId="3C9FDB6D" w14:textId="77777777" w:rsidR="00A33BBC" w:rsidRPr="00C67F17" w:rsidRDefault="00A33BBC" w:rsidP="00A33BBC">
      <w:pPr>
        <w:rPr>
          <w:lang w:bidi="ar-SA"/>
        </w:rPr>
      </w:pPr>
      <w:r>
        <w:rPr>
          <w:lang w:bidi="ar-SA"/>
        </w:rPr>
        <w:t>Indikátory stanovené pro klíčové oblasti změn mají kontextový charakter</w:t>
      </w:r>
      <w:r w:rsidR="00950AC0">
        <w:rPr>
          <w:lang w:bidi="ar-SA"/>
        </w:rPr>
        <w:t>.</w:t>
      </w:r>
      <w:r>
        <w:rPr>
          <w:lang w:bidi="ar-SA"/>
        </w:rPr>
        <w:t xml:space="preserve"> Jejich hodnota</w:t>
      </w:r>
      <w:r w:rsidR="00950AC0">
        <w:rPr>
          <w:lang w:bidi="ar-SA"/>
        </w:rPr>
        <w:t xml:space="preserve">, </w:t>
      </w:r>
      <w:r>
        <w:rPr>
          <w:lang w:bidi="ar-SA"/>
        </w:rPr>
        <w:t>vztažena k datu 31.</w:t>
      </w:r>
      <w:r w:rsidR="009F631F">
        <w:rPr>
          <w:lang w:bidi="ar-SA"/>
        </w:rPr>
        <w:t xml:space="preserve"> </w:t>
      </w:r>
      <w:r>
        <w:rPr>
          <w:lang w:bidi="ar-SA"/>
        </w:rPr>
        <w:t>12.</w:t>
      </w:r>
      <w:r w:rsidR="009F631F">
        <w:rPr>
          <w:lang w:bidi="ar-SA"/>
        </w:rPr>
        <w:t xml:space="preserve"> </w:t>
      </w:r>
      <w:r>
        <w:rPr>
          <w:lang w:bidi="ar-SA"/>
        </w:rPr>
        <w:t>2016</w:t>
      </w:r>
      <w:r w:rsidR="00950AC0">
        <w:rPr>
          <w:lang w:bidi="ar-SA"/>
        </w:rPr>
        <w:t>,</w:t>
      </w:r>
      <w:r w:rsidR="009F631F">
        <w:rPr>
          <w:lang w:bidi="ar-SA"/>
        </w:rPr>
        <w:t xml:space="preserve"> je uvedena v následující tabulce</w:t>
      </w:r>
      <w:r w:rsidR="00950AC0">
        <w:rPr>
          <w:lang w:bidi="ar-SA"/>
        </w:rPr>
        <w:t xml:space="preserve">. </w:t>
      </w:r>
    </w:p>
    <w:p w14:paraId="5BB1B512" w14:textId="77777777" w:rsidR="00505E60" w:rsidRPr="00505E60" w:rsidRDefault="00505E60" w:rsidP="00505E60">
      <w:bookmarkStart w:id="70" w:name="_Toc5626523"/>
      <w:r w:rsidRPr="00C64D59">
        <w:rPr>
          <w:rFonts w:cs="Arial-ItalicMT"/>
          <w:b/>
          <w:iCs/>
          <w:szCs w:val="22"/>
        </w:rPr>
        <w:t xml:space="preserve">Tabulka č. </w:t>
      </w:r>
      <w:r w:rsidR="008A090D" w:rsidRPr="00C64D59">
        <w:rPr>
          <w:rFonts w:cs="Arial-ItalicMT"/>
          <w:b/>
          <w:iCs/>
          <w:szCs w:val="22"/>
        </w:rPr>
        <w:fldChar w:fldCharType="begin"/>
      </w:r>
      <w:r w:rsidRPr="00C64D59">
        <w:rPr>
          <w:rFonts w:cs="Arial-ItalicMT"/>
          <w:b/>
          <w:iCs/>
          <w:szCs w:val="22"/>
        </w:rPr>
        <w:instrText xml:space="preserve"> SEQ Tabulka_č._ \* ARABIC </w:instrText>
      </w:r>
      <w:r w:rsidR="008A090D" w:rsidRPr="00C64D59">
        <w:rPr>
          <w:rFonts w:cs="Arial-ItalicMT"/>
          <w:b/>
          <w:iCs/>
          <w:szCs w:val="22"/>
        </w:rPr>
        <w:fldChar w:fldCharType="separate"/>
      </w:r>
      <w:r w:rsidR="002309D5">
        <w:rPr>
          <w:rFonts w:cs="Arial-ItalicMT"/>
          <w:b/>
          <w:iCs/>
          <w:noProof/>
          <w:szCs w:val="22"/>
        </w:rPr>
        <w:t>14</w:t>
      </w:r>
      <w:r w:rsidR="008A090D" w:rsidRPr="00C64D59">
        <w:rPr>
          <w:rFonts w:cs="Arial-ItalicMT"/>
          <w:b/>
          <w:iCs/>
          <w:szCs w:val="22"/>
        </w:rPr>
        <w:fldChar w:fldCharType="end"/>
      </w:r>
      <w:r w:rsidRPr="00C64D59">
        <w:rPr>
          <w:rFonts w:cs="Arial-ItalicMT"/>
          <w:b/>
          <w:iCs/>
          <w:szCs w:val="22"/>
        </w:rPr>
        <w:t xml:space="preserve"> -</w:t>
      </w:r>
      <w:r w:rsidRPr="00D66402">
        <w:rPr>
          <w:rFonts w:cs="Arial-ItalicMT"/>
          <w:iCs/>
          <w:szCs w:val="22"/>
        </w:rPr>
        <w:t xml:space="preserve"> </w:t>
      </w:r>
      <w:r w:rsidRPr="00505E60">
        <w:rPr>
          <w:i/>
        </w:rPr>
        <w:t>Kontextové indikátory pro klíčové oblasti změn</w:t>
      </w:r>
      <w:bookmarkEnd w:id="70"/>
    </w:p>
    <w:tbl>
      <w:tblPr>
        <w:tblW w:w="9227" w:type="dxa"/>
        <w:tblInd w:w="57" w:type="dxa"/>
        <w:tblCellMar>
          <w:left w:w="70" w:type="dxa"/>
          <w:right w:w="70" w:type="dxa"/>
        </w:tblCellMar>
        <w:tblLook w:val="04A0" w:firstRow="1" w:lastRow="0" w:firstColumn="1" w:lastColumn="0" w:noHBand="0" w:noVBand="1"/>
      </w:tblPr>
      <w:tblGrid>
        <w:gridCol w:w="2707"/>
        <w:gridCol w:w="3685"/>
        <w:gridCol w:w="1559"/>
        <w:gridCol w:w="1276"/>
      </w:tblGrid>
      <w:tr w:rsidR="00A33BBC" w:rsidRPr="00AE4F97" w14:paraId="4EF7B742" w14:textId="77777777" w:rsidTr="00F10A9D">
        <w:trPr>
          <w:trHeight w:val="900"/>
        </w:trPr>
        <w:tc>
          <w:tcPr>
            <w:tcW w:w="2707" w:type="dxa"/>
            <w:tcBorders>
              <w:top w:val="single" w:sz="4" w:space="0" w:color="auto"/>
              <w:left w:val="single" w:sz="4" w:space="0" w:color="auto"/>
              <w:bottom w:val="single" w:sz="4" w:space="0" w:color="auto"/>
              <w:right w:val="single" w:sz="4" w:space="0" w:color="auto"/>
            </w:tcBorders>
            <w:shd w:val="clear" w:color="auto" w:fill="4F81BD"/>
            <w:vAlign w:val="center"/>
            <w:hideMark/>
          </w:tcPr>
          <w:p w14:paraId="4B7C5086" w14:textId="77777777" w:rsidR="00A33BBC" w:rsidRPr="00AE4F97" w:rsidRDefault="00A33BBC" w:rsidP="00F10A9D">
            <w:pPr>
              <w:spacing w:before="0" w:after="0" w:line="240" w:lineRule="auto"/>
              <w:jc w:val="center"/>
              <w:rPr>
                <w:rFonts w:eastAsia="Times New Roman" w:cs="Calibri"/>
                <w:b/>
                <w:bCs/>
                <w:color w:val="FFFFFF"/>
                <w:spacing w:val="0"/>
                <w:sz w:val="18"/>
                <w:szCs w:val="18"/>
                <w:lang w:eastAsia="cs-CZ" w:bidi="ar-SA"/>
              </w:rPr>
            </w:pPr>
            <w:r w:rsidRPr="00AE4F97">
              <w:rPr>
                <w:rFonts w:eastAsia="Times New Roman" w:cs="Calibri"/>
                <w:b/>
                <w:bCs/>
                <w:color w:val="FFFFFF"/>
                <w:spacing w:val="0"/>
                <w:sz w:val="18"/>
                <w:szCs w:val="18"/>
                <w:lang w:eastAsia="cs-CZ" w:bidi="ar-SA"/>
              </w:rPr>
              <w:t xml:space="preserve">Klíčové oblasti změn </w:t>
            </w:r>
            <w:r w:rsidR="00190EC3">
              <w:rPr>
                <w:rFonts w:eastAsia="Times New Roman" w:cs="Calibri"/>
                <w:b/>
                <w:bCs/>
                <w:color w:val="FFFFFF"/>
                <w:spacing w:val="0"/>
                <w:sz w:val="18"/>
                <w:szCs w:val="18"/>
                <w:lang w:eastAsia="cs-CZ" w:bidi="ar-SA"/>
              </w:rPr>
              <w:t>N</w:t>
            </w:r>
            <w:r w:rsidRPr="00AE4F97">
              <w:rPr>
                <w:rFonts w:eastAsia="Times New Roman" w:cs="Calibri"/>
                <w:b/>
                <w:bCs/>
                <w:color w:val="FFFFFF"/>
                <w:spacing w:val="0"/>
                <w:sz w:val="18"/>
                <w:szCs w:val="18"/>
                <w:lang w:eastAsia="cs-CZ" w:bidi="ar-SA"/>
              </w:rPr>
              <w:t>RIS3 strategie</w:t>
            </w:r>
          </w:p>
        </w:tc>
        <w:tc>
          <w:tcPr>
            <w:tcW w:w="3685" w:type="dxa"/>
            <w:tcBorders>
              <w:top w:val="single" w:sz="4" w:space="0" w:color="auto"/>
              <w:left w:val="nil"/>
              <w:bottom w:val="single" w:sz="4" w:space="0" w:color="auto"/>
              <w:right w:val="single" w:sz="4" w:space="0" w:color="auto"/>
            </w:tcBorders>
            <w:shd w:val="clear" w:color="auto" w:fill="4F81BD"/>
            <w:vAlign w:val="center"/>
            <w:hideMark/>
          </w:tcPr>
          <w:p w14:paraId="7B2A0E7A" w14:textId="77777777" w:rsidR="00A33BBC" w:rsidRPr="00AE4F97" w:rsidRDefault="00A33BBC" w:rsidP="00F10A9D">
            <w:pPr>
              <w:spacing w:before="0" w:after="0" w:line="240" w:lineRule="auto"/>
              <w:jc w:val="center"/>
              <w:rPr>
                <w:rFonts w:eastAsia="Times New Roman" w:cs="Calibri"/>
                <w:b/>
                <w:bCs/>
                <w:color w:val="FFFFFF"/>
                <w:spacing w:val="0"/>
                <w:sz w:val="18"/>
                <w:szCs w:val="18"/>
                <w:lang w:eastAsia="cs-CZ" w:bidi="ar-SA"/>
              </w:rPr>
            </w:pPr>
            <w:r w:rsidRPr="00AE4F97">
              <w:rPr>
                <w:rFonts w:eastAsia="Times New Roman" w:cs="Calibri"/>
                <w:b/>
                <w:bCs/>
                <w:color w:val="FFFFFF"/>
                <w:spacing w:val="0"/>
                <w:sz w:val="18"/>
                <w:szCs w:val="18"/>
                <w:lang w:eastAsia="cs-CZ" w:bidi="ar-SA"/>
              </w:rPr>
              <w:t xml:space="preserve">Indikátor - Kód.Název </w:t>
            </w:r>
          </w:p>
        </w:tc>
        <w:tc>
          <w:tcPr>
            <w:tcW w:w="1559" w:type="dxa"/>
            <w:tcBorders>
              <w:top w:val="single" w:sz="4" w:space="0" w:color="auto"/>
              <w:left w:val="nil"/>
              <w:bottom w:val="single" w:sz="4" w:space="0" w:color="auto"/>
              <w:right w:val="single" w:sz="4" w:space="0" w:color="auto"/>
            </w:tcBorders>
            <w:shd w:val="clear" w:color="auto" w:fill="4F81BD"/>
            <w:vAlign w:val="center"/>
            <w:hideMark/>
          </w:tcPr>
          <w:p w14:paraId="177A4A72" w14:textId="77777777" w:rsidR="00A33BBC" w:rsidRPr="00AE4F97" w:rsidRDefault="00A33BBC" w:rsidP="00F10A9D">
            <w:pPr>
              <w:spacing w:before="0" w:after="0" w:line="240" w:lineRule="auto"/>
              <w:jc w:val="center"/>
              <w:rPr>
                <w:rFonts w:eastAsia="Times New Roman" w:cs="Calibri"/>
                <w:b/>
                <w:bCs/>
                <w:color w:val="FFFFFF"/>
                <w:spacing w:val="0"/>
                <w:sz w:val="18"/>
                <w:szCs w:val="18"/>
                <w:lang w:eastAsia="cs-CZ" w:bidi="ar-SA"/>
              </w:rPr>
            </w:pPr>
            <w:r w:rsidRPr="00AE4F97">
              <w:rPr>
                <w:rFonts w:eastAsia="Times New Roman" w:cs="Calibri"/>
                <w:b/>
                <w:bCs/>
                <w:color w:val="FFFFFF"/>
                <w:spacing w:val="0"/>
                <w:sz w:val="18"/>
                <w:szCs w:val="18"/>
                <w:lang w:eastAsia="cs-CZ" w:bidi="ar-SA"/>
              </w:rPr>
              <w:t>Indikátor - Měrná jednotka</w:t>
            </w:r>
          </w:p>
        </w:tc>
        <w:tc>
          <w:tcPr>
            <w:tcW w:w="1276" w:type="dxa"/>
            <w:tcBorders>
              <w:top w:val="single" w:sz="4" w:space="0" w:color="auto"/>
              <w:left w:val="nil"/>
              <w:bottom w:val="single" w:sz="4" w:space="0" w:color="auto"/>
              <w:right w:val="single" w:sz="4" w:space="0" w:color="auto"/>
            </w:tcBorders>
            <w:shd w:val="clear" w:color="auto" w:fill="4F81BD"/>
            <w:vAlign w:val="center"/>
            <w:hideMark/>
          </w:tcPr>
          <w:p w14:paraId="4986AF16" w14:textId="77777777" w:rsidR="00A33BBC" w:rsidRPr="00AE4F97" w:rsidRDefault="00A33BBC" w:rsidP="00F10A9D">
            <w:pPr>
              <w:spacing w:before="0" w:after="0" w:line="240" w:lineRule="auto"/>
              <w:jc w:val="center"/>
              <w:rPr>
                <w:rFonts w:eastAsia="Times New Roman" w:cs="Calibri"/>
                <w:b/>
                <w:bCs/>
                <w:color w:val="FFFFFF"/>
                <w:spacing w:val="0"/>
                <w:sz w:val="18"/>
                <w:szCs w:val="18"/>
                <w:lang w:eastAsia="cs-CZ" w:bidi="ar-SA"/>
              </w:rPr>
            </w:pPr>
            <w:r w:rsidRPr="00AE4F97">
              <w:rPr>
                <w:rFonts w:eastAsia="Times New Roman" w:cs="Calibri"/>
                <w:b/>
                <w:bCs/>
                <w:color w:val="FFFFFF"/>
                <w:spacing w:val="0"/>
                <w:sz w:val="18"/>
                <w:szCs w:val="18"/>
                <w:lang w:eastAsia="cs-CZ" w:bidi="ar-SA"/>
              </w:rPr>
              <w:t xml:space="preserve">Dosažená hodnota </w:t>
            </w:r>
            <w:r w:rsidRPr="00AE4F97">
              <w:rPr>
                <w:rFonts w:eastAsia="Times New Roman" w:cs="Calibri"/>
                <w:b/>
                <w:bCs/>
                <w:color w:val="FFFFFF"/>
                <w:spacing w:val="0"/>
                <w:sz w:val="18"/>
                <w:szCs w:val="18"/>
                <w:lang w:eastAsia="cs-CZ" w:bidi="ar-SA"/>
              </w:rPr>
              <w:br/>
              <w:t>k 31.12.2016</w:t>
            </w:r>
            <w:r w:rsidR="00950AC0">
              <w:rPr>
                <w:rStyle w:val="Znakapoznpodarou"/>
                <w:rFonts w:eastAsia="Times New Roman" w:cs="Calibri"/>
                <w:b/>
                <w:bCs/>
                <w:color w:val="FFFFFF"/>
                <w:spacing w:val="0"/>
                <w:sz w:val="18"/>
                <w:szCs w:val="18"/>
                <w:lang w:eastAsia="cs-CZ" w:bidi="ar-SA"/>
              </w:rPr>
              <w:footnoteReference w:id="48"/>
            </w:r>
          </w:p>
        </w:tc>
      </w:tr>
      <w:tr w:rsidR="00A33BBC" w:rsidRPr="00AE4F97" w14:paraId="29D10150" w14:textId="77777777" w:rsidTr="00F10A9D">
        <w:trPr>
          <w:trHeight w:val="397"/>
        </w:trPr>
        <w:tc>
          <w:tcPr>
            <w:tcW w:w="2707" w:type="dxa"/>
            <w:vMerge w:val="restart"/>
            <w:tcBorders>
              <w:top w:val="nil"/>
              <w:left w:val="single" w:sz="4" w:space="0" w:color="auto"/>
              <w:bottom w:val="single" w:sz="4" w:space="0" w:color="auto"/>
              <w:right w:val="single" w:sz="4" w:space="0" w:color="auto"/>
            </w:tcBorders>
            <w:shd w:val="clear" w:color="auto" w:fill="auto"/>
            <w:vAlign w:val="center"/>
            <w:hideMark/>
          </w:tcPr>
          <w:p w14:paraId="103E37C5" w14:textId="77777777" w:rsidR="00A33BBC" w:rsidRPr="00AE4F97" w:rsidRDefault="00A33BBC" w:rsidP="00F10A9D">
            <w:pPr>
              <w:spacing w:before="0" w:after="0" w:line="240" w:lineRule="auto"/>
              <w:jc w:val="left"/>
              <w:rPr>
                <w:rFonts w:eastAsia="Times New Roman" w:cs="Calibri"/>
                <w:b/>
                <w:bCs/>
                <w:color w:val="000000"/>
                <w:spacing w:val="0"/>
                <w:sz w:val="18"/>
                <w:szCs w:val="18"/>
                <w:lang w:eastAsia="cs-CZ" w:bidi="ar-SA"/>
              </w:rPr>
            </w:pPr>
            <w:r w:rsidRPr="00AE4F97">
              <w:rPr>
                <w:rFonts w:eastAsia="Times New Roman" w:cs="Calibri"/>
                <w:b/>
                <w:bCs/>
                <w:color w:val="000000"/>
                <w:spacing w:val="0"/>
                <w:sz w:val="18"/>
                <w:szCs w:val="18"/>
                <w:lang w:eastAsia="cs-CZ" w:bidi="ar-SA"/>
              </w:rPr>
              <w:t>A Vyšší inovační výkonnost firem</w:t>
            </w:r>
          </w:p>
        </w:tc>
        <w:tc>
          <w:tcPr>
            <w:tcW w:w="3685" w:type="dxa"/>
            <w:tcBorders>
              <w:top w:val="nil"/>
              <w:left w:val="nil"/>
              <w:bottom w:val="single" w:sz="4" w:space="0" w:color="auto"/>
              <w:right w:val="single" w:sz="4" w:space="0" w:color="auto"/>
            </w:tcBorders>
            <w:shd w:val="clear" w:color="auto" w:fill="auto"/>
            <w:vAlign w:val="center"/>
            <w:hideMark/>
          </w:tcPr>
          <w:p w14:paraId="3DEE3D69" w14:textId="77777777" w:rsidR="00A33BBC" w:rsidRPr="00AE4F97" w:rsidRDefault="00A33BBC" w:rsidP="00F10A9D">
            <w:pPr>
              <w:spacing w:before="0" w:after="0" w:line="240" w:lineRule="auto"/>
              <w:jc w:val="left"/>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 xml:space="preserve">22000.Patentové žádosti podané u Evropského patentového úřadu na mil. obyvatel </w:t>
            </w:r>
          </w:p>
        </w:tc>
        <w:tc>
          <w:tcPr>
            <w:tcW w:w="1559" w:type="dxa"/>
            <w:tcBorders>
              <w:top w:val="nil"/>
              <w:left w:val="nil"/>
              <w:bottom w:val="single" w:sz="4" w:space="0" w:color="auto"/>
              <w:right w:val="single" w:sz="4" w:space="0" w:color="auto"/>
            </w:tcBorders>
            <w:shd w:val="clear" w:color="auto" w:fill="auto"/>
            <w:noWrap/>
            <w:vAlign w:val="center"/>
            <w:hideMark/>
          </w:tcPr>
          <w:p w14:paraId="77B6AB80"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žádosti</w:t>
            </w:r>
          </w:p>
        </w:tc>
        <w:tc>
          <w:tcPr>
            <w:tcW w:w="1276" w:type="dxa"/>
            <w:tcBorders>
              <w:top w:val="nil"/>
              <w:left w:val="nil"/>
              <w:bottom w:val="single" w:sz="4" w:space="0" w:color="auto"/>
              <w:right w:val="single" w:sz="4" w:space="0" w:color="auto"/>
            </w:tcBorders>
            <w:shd w:val="clear" w:color="auto" w:fill="auto"/>
            <w:noWrap/>
            <w:vAlign w:val="center"/>
            <w:hideMark/>
          </w:tcPr>
          <w:p w14:paraId="35DE3CD8"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189</w:t>
            </w:r>
          </w:p>
        </w:tc>
      </w:tr>
      <w:tr w:rsidR="00A33BBC" w:rsidRPr="00AE4F97" w14:paraId="3FBE98E3" w14:textId="77777777" w:rsidTr="00F10A9D">
        <w:trPr>
          <w:trHeight w:val="397"/>
        </w:trPr>
        <w:tc>
          <w:tcPr>
            <w:tcW w:w="2707" w:type="dxa"/>
            <w:vMerge/>
            <w:tcBorders>
              <w:top w:val="nil"/>
              <w:left w:val="single" w:sz="4" w:space="0" w:color="auto"/>
              <w:bottom w:val="single" w:sz="4" w:space="0" w:color="auto"/>
              <w:right w:val="single" w:sz="4" w:space="0" w:color="auto"/>
            </w:tcBorders>
            <w:shd w:val="clear" w:color="auto" w:fill="auto"/>
            <w:vAlign w:val="center"/>
            <w:hideMark/>
          </w:tcPr>
          <w:p w14:paraId="522C218B" w14:textId="77777777" w:rsidR="00A33BBC" w:rsidRPr="00AE4F97" w:rsidRDefault="00A33BBC" w:rsidP="00F10A9D">
            <w:pPr>
              <w:spacing w:before="0" w:after="0" w:line="240" w:lineRule="auto"/>
              <w:jc w:val="left"/>
              <w:rPr>
                <w:rFonts w:eastAsia="Times New Roman" w:cs="Calibri"/>
                <w:b/>
                <w:bCs/>
                <w:color w:val="000000"/>
                <w:spacing w:val="0"/>
                <w:sz w:val="18"/>
                <w:szCs w:val="18"/>
                <w:lang w:eastAsia="cs-CZ" w:bidi="ar-SA"/>
              </w:rPr>
            </w:pPr>
          </w:p>
        </w:tc>
        <w:tc>
          <w:tcPr>
            <w:tcW w:w="3685" w:type="dxa"/>
            <w:tcBorders>
              <w:top w:val="nil"/>
              <w:left w:val="nil"/>
              <w:bottom w:val="single" w:sz="4" w:space="0" w:color="auto"/>
              <w:right w:val="single" w:sz="4" w:space="0" w:color="auto"/>
            </w:tcBorders>
            <w:shd w:val="clear" w:color="auto" w:fill="auto"/>
            <w:vAlign w:val="center"/>
            <w:hideMark/>
          </w:tcPr>
          <w:p w14:paraId="020FB647" w14:textId="77777777" w:rsidR="00A33BBC" w:rsidRPr="00AE4F97" w:rsidRDefault="00A33BBC" w:rsidP="00F10A9D">
            <w:pPr>
              <w:spacing w:before="0" w:after="0" w:line="240" w:lineRule="auto"/>
              <w:jc w:val="left"/>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21002.Výdaje na VaV v podnikatelském sektoru</w:t>
            </w:r>
          </w:p>
        </w:tc>
        <w:tc>
          <w:tcPr>
            <w:tcW w:w="1559" w:type="dxa"/>
            <w:tcBorders>
              <w:top w:val="nil"/>
              <w:left w:val="nil"/>
              <w:bottom w:val="single" w:sz="4" w:space="0" w:color="auto"/>
              <w:right w:val="single" w:sz="4" w:space="0" w:color="auto"/>
            </w:tcBorders>
            <w:shd w:val="clear" w:color="auto" w:fill="auto"/>
            <w:noWrap/>
            <w:vAlign w:val="center"/>
            <w:hideMark/>
          </w:tcPr>
          <w:p w14:paraId="2FD08109"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w:t>
            </w:r>
          </w:p>
        </w:tc>
        <w:tc>
          <w:tcPr>
            <w:tcW w:w="1276" w:type="dxa"/>
            <w:tcBorders>
              <w:top w:val="nil"/>
              <w:left w:val="nil"/>
              <w:bottom w:val="single" w:sz="4" w:space="0" w:color="auto"/>
              <w:right w:val="single" w:sz="4" w:space="0" w:color="auto"/>
            </w:tcBorders>
            <w:shd w:val="clear" w:color="auto" w:fill="auto"/>
            <w:noWrap/>
            <w:vAlign w:val="center"/>
            <w:hideMark/>
          </w:tcPr>
          <w:p w14:paraId="6CF2F56F"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1,03</w:t>
            </w:r>
          </w:p>
        </w:tc>
      </w:tr>
      <w:tr w:rsidR="00A33BBC" w:rsidRPr="00AE4F97" w14:paraId="2B9A37A4" w14:textId="77777777" w:rsidTr="00F10A9D">
        <w:trPr>
          <w:trHeight w:val="397"/>
        </w:trPr>
        <w:tc>
          <w:tcPr>
            <w:tcW w:w="2707" w:type="dxa"/>
            <w:vMerge w:val="restart"/>
            <w:tcBorders>
              <w:top w:val="nil"/>
              <w:left w:val="single" w:sz="4" w:space="0" w:color="auto"/>
              <w:bottom w:val="single" w:sz="4" w:space="0" w:color="auto"/>
              <w:right w:val="single" w:sz="4" w:space="0" w:color="auto"/>
            </w:tcBorders>
            <w:shd w:val="clear" w:color="auto" w:fill="auto"/>
            <w:vAlign w:val="center"/>
            <w:hideMark/>
          </w:tcPr>
          <w:p w14:paraId="0DFC1628" w14:textId="77777777" w:rsidR="00A33BBC" w:rsidRPr="00AE4F97" w:rsidRDefault="00A33BBC" w:rsidP="00F10A9D">
            <w:pPr>
              <w:spacing w:before="0" w:after="0" w:line="240" w:lineRule="auto"/>
              <w:jc w:val="left"/>
              <w:rPr>
                <w:rFonts w:eastAsia="Times New Roman" w:cs="Calibri"/>
                <w:b/>
                <w:bCs/>
                <w:color w:val="000000"/>
                <w:spacing w:val="0"/>
                <w:sz w:val="18"/>
                <w:szCs w:val="18"/>
                <w:lang w:eastAsia="cs-CZ" w:bidi="ar-SA"/>
              </w:rPr>
            </w:pPr>
            <w:r w:rsidRPr="00AE4F97">
              <w:rPr>
                <w:rFonts w:eastAsia="Times New Roman" w:cs="Calibri"/>
                <w:b/>
                <w:bCs/>
                <w:color w:val="000000"/>
                <w:spacing w:val="0"/>
                <w:sz w:val="18"/>
                <w:szCs w:val="18"/>
                <w:lang w:eastAsia="cs-CZ" w:bidi="ar-SA"/>
              </w:rPr>
              <w:t>B Zvýšení kvality výzkumu</w:t>
            </w:r>
          </w:p>
        </w:tc>
        <w:tc>
          <w:tcPr>
            <w:tcW w:w="3685" w:type="dxa"/>
            <w:tcBorders>
              <w:top w:val="nil"/>
              <w:left w:val="nil"/>
              <w:bottom w:val="single" w:sz="4" w:space="0" w:color="auto"/>
              <w:right w:val="single" w:sz="4" w:space="0" w:color="auto"/>
            </w:tcBorders>
            <w:shd w:val="clear" w:color="auto" w:fill="auto"/>
            <w:vAlign w:val="center"/>
            <w:hideMark/>
          </w:tcPr>
          <w:p w14:paraId="1AEAC045" w14:textId="77777777" w:rsidR="00A33BBC" w:rsidRPr="00AE4F97" w:rsidRDefault="00A33BBC" w:rsidP="00F10A9D">
            <w:pPr>
              <w:spacing w:before="0" w:after="0" w:line="240" w:lineRule="auto"/>
              <w:jc w:val="left"/>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54010.Podíl celkových výdajů na VaV na HDP (GERD)</w:t>
            </w:r>
          </w:p>
        </w:tc>
        <w:tc>
          <w:tcPr>
            <w:tcW w:w="1559" w:type="dxa"/>
            <w:tcBorders>
              <w:top w:val="nil"/>
              <w:left w:val="nil"/>
              <w:bottom w:val="single" w:sz="4" w:space="0" w:color="auto"/>
              <w:right w:val="single" w:sz="4" w:space="0" w:color="auto"/>
            </w:tcBorders>
            <w:shd w:val="clear" w:color="auto" w:fill="auto"/>
            <w:noWrap/>
            <w:vAlign w:val="center"/>
            <w:hideMark/>
          </w:tcPr>
          <w:p w14:paraId="3ADED256"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w:t>
            </w:r>
          </w:p>
        </w:tc>
        <w:tc>
          <w:tcPr>
            <w:tcW w:w="1276" w:type="dxa"/>
            <w:tcBorders>
              <w:top w:val="nil"/>
              <w:left w:val="nil"/>
              <w:bottom w:val="single" w:sz="4" w:space="0" w:color="auto"/>
              <w:right w:val="single" w:sz="4" w:space="0" w:color="auto"/>
            </w:tcBorders>
            <w:shd w:val="clear" w:color="auto" w:fill="auto"/>
            <w:noWrap/>
            <w:vAlign w:val="center"/>
            <w:hideMark/>
          </w:tcPr>
          <w:p w14:paraId="1137FAB9"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1,68</w:t>
            </w:r>
          </w:p>
        </w:tc>
      </w:tr>
      <w:tr w:rsidR="00A33BBC" w:rsidRPr="00AE4F97" w14:paraId="7595EFCF" w14:textId="77777777" w:rsidTr="00F10A9D">
        <w:trPr>
          <w:trHeight w:val="397"/>
        </w:trPr>
        <w:tc>
          <w:tcPr>
            <w:tcW w:w="2707" w:type="dxa"/>
            <w:vMerge/>
            <w:tcBorders>
              <w:top w:val="nil"/>
              <w:left w:val="single" w:sz="4" w:space="0" w:color="auto"/>
              <w:bottom w:val="single" w:sz="4" w:space="0" w:color="auto"/>
              <w:right w:val="single" w:sz="4" w:space="0" w:color="auto"/>
            </w:tcBorders>
            <w:shd w:val="clear" w:color="auto" w:fill="auto"/>
            <w:vAlign w:val="center"/>
            <w:hideMark/>
          </w:tcPr>
          <w:p w14:paraId="56555D67" w14:textId="77777777" w:rsidR="00A33BBC" w:rsidRPr="00AE4F97" w:rsidRDefault="00A33BBC" w:rsidP="00F10A9D">
            <w:pPr>
              <w:spacing w:before="0" w:after="0" w:line="240" w:lineRule="auto"/>
              <w:jc w:val="left"/>
              <w:rPr>
                <w:rFonts w:eastAsia="Times New Roman" w:cs="Calibri"/>
                <w:b/>
                <w:bCs/>
                <w:color w:val="000000"/>
                <w:spacing w:val="0"/>
                <w:sz w:val="18"/>
                <w:szCs w:val="18"/>
                <w:lang w:eastAsia="cs-CZ" w:bidi="ar-SA"/>
              </w:rPr>
            </w:pPr>
          </w:p>
        </w:tc>
        <w:tc>
          <w:tcPr>
            <w:tcW w:w="3685" w:type="dxa"/>
            <w:tcBorders>
              <w:top w:val="nil"/>
              <w:left w:val="nil"/>
              <w:bottom w:val="single" w:sz="4" w:space="0" w:color="auto"/>
              <w:right w:val="single" w:sz="4" w:space="0" w:color="auto"/>
            </w:tcBorders>
            <w:shd w:val="clear" w:color="auto" w:fill="auto"/>
            <w:vAlign w:val="center"/>
            <w:hideMark/>
          </w:tcPr>
          <w:p w14:paraId="23ED158E" w14:textId="77777777" w:rsidR="00A33BBC" w:rsidRPr="00AE4F97" w:rsidRDefault="00A33BBC" w:rsidP="00F10A9D">
            <w:pPr>
              <w:spacing w:before="0" w:after="0" w:line="240" w:lineRule="auto"/>
              <w:jc w:val="left"/>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 xml:space="preserve">54020.Podíl státních rozpočtových výdajů (GBAORD) na VaV na HDP </w:t>
            </w:r>
          </w:p>
        </w:tc>
        <w:tc>
          <w:tcPr>
            <w:tcW w:w="1559" w:type="dxa"/>
            <w:tcBorders>
              <w:top w:val="nil"/>
              <w:left w:val="nil"/>
              <w:bottom w:val="single" w:sz="4" w:space="0" w:color="auto"/>
              <w:right w:val="single" w:sz="4" w:space="0" w:color="auto"/>
            </w:tcBorders>
            <w:shd w:val="clear" w:color="auto" w:fill="auto"/>
            <w:noWrap/>
            <w:vAlign w:val="center"/>
            <w:hideMark/>
          </w:tcPr>
          <w:p w14:paraId="5960B9F5"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w:t>
            </w:r>
          </w:p>
        </w:tc>
        <w:tc>
          <w:tcPr>
            <w:tcW w:w="1276" w:type="dxa"/>
            <w:tcBorders>
              <w:top w:val="nil"/>
              <w:left w:val="nil"/>
              <w:bottom w:val="single" w:sz="4" w:space="0" w:color="auto"/>
              <w:right w:val="single" w:sz="4" w:space="0" w:color="auto"/>
            </w:tcBorders>
            <w:shd w:val="clear" w:color="auto" w:fill="auto"/>
            <w:noWrap/>
            <w:vAlign w:val="center"/>
            <w:hideMark/>
          </w:tcPr>
          <w:p w14:paraId="6ECACFE1"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0,59</w:t>
            </w:r>
          </w:p>
        </w:tc>
      </w:tr>
      <w:tr w:rsidR="00A33BBC" w:rsidRPr="00AE4F97" w14:paraId="17C0BF3E" w14:textId="77777777" w:rsidTr="00F10A9D">
        <w:trPr>
          <w:trHeight w:val="397"/>
        </w:trPr>
        <w:tc>
          <w:tcPr>
            <w:tcW w:w="2707" w:type="dxa"/>
            <w:vMerge/>
            <w:tcBorders>
              <w:top w:val="nil"/>
              <w:left w:val="single" w:sz="4" w:space="0" w:color="auto"/>
              <w:bottom w:val="single" w:sz="4" w:space="0" w:color="auto"/>
              <w:right w:val="single" w:sz="4" w:space="0" w:color="auto"/>
            </w:tcBorders>
            <w:shd w:val="clear" w:color="auto" w:fill="auto"/>
            <w:vAlign w:val="center"/>
            <w:hideMark/>
          </w:tcPr>
          <w:p w14:paraId="141DC8D2" w14:textId="77777777" w:rsidR="00A33BBC" w:rsidRPr="00AE4F97" w:rsidRDefault="00A33BBC" w:rsidP="00F10A9D">
            <w:pPr>
              <w:spacing w:before="0" w:after="0" w:line="240" w:lineRule="auto"/>
              <w:jc w:val="left"/>
              <w:rPr>
                <w:rFonts w:eastAsia="Times New Roman" w:cs="Calibri"/>
                <w:b/>
                <w:bCs/>
                <w:color w:val="000000"/>
                <w:spacing w:val="0"/>
                <w:sz w:val="18"/>
                <w:szCs w:val="18"/>
                <w:lang w:eastAsia="cs-CZ" w:bidi="ar-SA"/>
              </w:rPr>
            </w:pPr>
          </w:p>
        </w:tc>
        <w:tc>
          <w:tcPr>
            <w:tcW w:w="3685" w:type="dxa"/>
            <w:tcBorders>
              <w:top w:val="nil"/>
              <w:left w:val="nil"/>
              <w:bottom w:val="single" w:sz="4" w:space="0" w:color="auto"/>
              <w:right w:val="single" w:sz="4" w:space="0" w:color="auto"/>
            </w:tcBorders>
            <w:shd w:val="clear" w:color="auto" w:fill="auto"/>
            <w:vAlign w:val="center"/>
            <w:hideMark/>
          </w:tcPr>
          <w:p w14:paraId="55ADD410" w14:textId="77777777" w:rsidR="00A33BBC" w:rsidRPr="00AE4F97" w:rsidRDefault="00A33BBC" w:rsidP="00F10A9D">
            <w:pPr>
              <w:spacing w:before="0" w:after="0" w:line="240" w:lineRule="auto"/>
              <w:jc w:val="left"/>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54025.Státní rozpočtové výdaje na VaV (GBAORD) celkem</w:t>
            </w:r>
          </w:p>
        </w:tc>
        <w:tc>
          <w:tcPr>
            <w:tcW w:w="1559" w:type="dxa"/>
            <w:tcBorders>
              <w:top w:val="nil"/>
              <w:left w:val="nil"/>
              <w:bottom w:val="single" w:sz="4" w:space="0" w:color="auto"/>
              <w:right w:val="single" w:sz="4" w:space="0" w:color="auto"/>
            </w:tcBorders>
            <w:shd w:val="clear" w:color="auto" w:fill="auto"/>
            <w:noWrap/>
            <w:vAlign w:val="center"/>
            <w:hideMark/>
          </w:tcPr>
          <w:p w14:paraId="08AD575D"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mil. Kč</w:t>
            </w:r>
          </w:p>
        </w:tc>
        <w:tc>
          <w:tcPr>
            <w:tcW w:w="1276" w:type="dxa"/>
            <w:tcBorders>
              <w:top w:val="nil"/>
              <w:left w:val="nil"/>
              <w:bottom w:val="single" w:sz="4" w:space="0" w:color="auto"/>
              <w:right w:val="single" w:sz="4" w:space="0" w:color="auto"/>
            </w:tcBorders>
            <w:shd w:val="clear" w:color="auto" w:fill="auto"/>
            <w:noWrap/>
            <w:vAlign w:val="center"/>
            <w:hideMark/>
          </w:tcPr>
          <w:p w14:paraId="7CFD2D53"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27 984</w:t>
            </w:r>
          </w:p>
        </w:tc>
      </w:tr>
      <w:tr w:rsidR="00A33BBC" w:rsidRPr="00AE4F97" w14:paraId="37A1E9E2" w14:textId="77777777" w:rsidTr="00F10A9D">
        <w:trPr>
          <w:trHeight w:val="397"/>
        </w:trPr>
        <w:tc>
          <w:tcPr>
            <w:tcW w:w="2707" w:type="dxa"/>
            <w:vMerge/>
            <w:tcBorders>
              <w:top w:val="nil"/>
              <w:left w:val="single" w:sz="4" w:space="0" w:color="auto"/>
              <w:bottom w:val="single" w:sz="4" w:space="0" w:color="auto"/>
              <w:right w:val="single" w:sz="4" w:space="0" w:color="auto"/>
            </w:tcBorders>
            <w:shd w:val="clear" w:color="auto" w:fill="auto"/>
            <w:vAlign w:val="center"/>
            <w:hideMark/>
          </w:tcPr>
          <w:p w14:paraId="58756B30" w14:textId="77777777" w:rsidR="00A33BBC" w:rsidRPr="00AE4F97" w:rsidRDefault="00A33BBC" w:rsidP="00F10A9D">
            <w:pPr>
              <w:spacing w:before="0" w:after="0" w:line="240" w:lineRule="auto"/>
              <w:jc w:val="left"/>
              <w:rPr>
                <w:rFonts w:eastAsia="Times New Roman" w:cs="Calibri"/>
                <w:b/>
                <w:bCs/>
                <w:color w:val="000000"/>
                <w:spacing w:val="0"/>
                <w:sz w:val="18"/>
                <w:szCs w:val="18"/>
                <w:lang w:eastAsia="cs-CZ" w:bidi="ar-SA"/>
              </w:rPr>
            </w:pPr>
          </w:p>
        </w:tc>
        <w:tc>
          <w:tcPr>
            <w:tcW w:w="3685" w:type="dxa"/>
            <w:tcBorders>
              <w:top w:val="nil"/>
              <w:left w:val="nil"/>
              <w:bottom w:val="single" w:sz="4" w:space="0" w:color="auto"/>
              <w:right w:val="single" w:sz="4" w:space="0" w:color="auto"/>
            </w:tcBorders>
            <w:shd w:val="clear" w:color="auto" w:fill="auto"/>
            <w:vAlign w:val="center"/>
            <w:hideMark/>
          </w:tcPr>
          <w:p w14:paraId="2B9DFD16" w14:textId="77777777" w:rsidR="00A33BBC" w:rsidRPr="00AE4F97" w:rsidRDefault="00A33BBC" w:rsidP="00F10A9D">
            <w:pPr>
              <w:spacing w:before="0" w:after="0" w:line="240" w:lineRule="auto"/>
              <w:jc w:val="left"/>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54030.Podíl veřejných výdajů na VaV na HDP</w:t>
            </w:r>
          </w:p>
        </w:tc>
        <w:tc>
          <w:tcPr>
            <w:tcW w:w="1559" w:type="dxa"/>
            <w:tcBorders>
              <w:top w:val="nil"/>
              <w:left w:val="nil"/>
              <w:bottom w:val="single" w:sz="4" w:space="0" w:color="auto"/>
              <w:right w:val="single" w:sz="4" w:space="0" w:color="auto"/>
            </w:tcBorders>
            <w:shd w:val="clear" w:color="auto" w:fill="auto"/>
            <w:noWrap/>
            <w:vAlign w:val="center"/>
            <w:hideMark/>
          </w:tcPr>
          <w:p w14:paraId="6702F701"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w:t>
            </w:r>
          </w:p>
        </w:tc>
        <w:tc>
          <w:tcPr>
            <w:tcW w:w="1276" w:type="dxa"/>
            <w:tcBorders>
              <w:top w:val="nil"/>
              <w:left w:val="nil"/>
              <w:bottom w:val="single" w:sz="4" w:space="0" w:color="auto"/>
              <w:right w:val="single" w:sz="4" w:space="0" w:color="auto"/>
            </w:tcBorders>
            <w:shd w:val="clear" w:color="auto" w:fill="auto"/>
            <w:noWrap/>
            <w:vAlign w:val="center"/>
            <w:hideMark/>
          </w:tcPr>
          <w:p w14:paraId="77CABC2C"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0,65%</w:t>
            </w:r>
          </w:p>
        </w:tc>
      </w:tr>
      <w:tr w:rsidR="00A33BBC" w:rsidRPr="00AE4F97" w14:paraId="0F6F0993" w14:textId="77777777" w:rsidTr="00F10A9D">
        <w:trPr>
          <w:trHeight w:val="397"/>
        </w:trPr>
        <w:tc>
          <w:tcPr>
            <w:tcW w:w="2707" w:type="dxa"/>
            <w:vMerge w:val="restart"/>
            <w:tcBorders>
              <w:top w:val="nil"/>
              <w:left w:val="single" w:sz="4" w:space="0" w:color="auto"/>
              <w:bottom w:val="single" w:sz="4" w:space="0" w:color="auto"/>
              <w:right w:val="single" w:sz="4" w:space="0" w:color="auto"/>
            </w:tcBorders>
            <w:shd w:val="clear" w:color="auto" w:fill="auto"/>
            <w:vAlign w:val="center"/>
            <w:hideMark/>
          </w:tcPr>
          <w:p w14:paraId="59964D5B" w14:textId="77777777" w:rsidR="00A33BBC" w:rsidRPr="00AE4F97" w:rsidRDefault="00A33BBC" w:rsidP="00F10A9D">
            <w:pPr>
              <w:spacing w:before="0" w:after="0" w:line="240" w:lineRule="auto"/>
              <w:jc w:val="left"/>
              <w:rPr>
                <w:rFonts w:eastAsia="Times New Roman" w:cs="Calibri"/>
                <w:b/>
                <w:bCs/>
                <w:color w:val="000000"/>
                <w:spacing w:val="0"/>
                <w:sz w:val="18"/>
                <w:szCs w:val="18"/>
                <w:lang w:eastAsia="cs-CZ" w:bidi="ar-SA"/>
              </w:rPr>
            </w:pPr>
            <w:r w:rsidRPr="00AE4F97">
              <w:rPr>
                <w:rFonts w:eastAsia="Times New Roman" w:cs="Calibri"/>
                <w:b/>
                <w:bCs/>
                <w:color w:val="000000"/>
                <w:spacing w:val="0"/>
                <w:sz w:val="18"/>
                <w:szCs w:val="18"/>
                <w:lang w:eastAsia="cs-CZ" w:bidi="ar-SA"/>
              </w:rPr>
              <w:t>C Zvýšení ekonomických přínosů veřejného výzkumu</w:t>
            </w:r>
          </w:p>
        </w:tc>
        <w:tc>
          <w:tcPr>
            <w:tcW w:w="3685" w:type="dxa"/>
            <w:tcBorders>
              <w:top w:val="nil"/>
              <w:left w:val="nil"/>
              <w:bottom w:val="single" w:sz="4" w:space="0" w:color="auto"/>
              <w:right w:val="single" w:sz="4" w:space="0" w:color="auto"/>
            </w:tcBorders>
            <w:shd w:val="clear" w:color="auto" w:fill="auto"/>
            <w:vAlign w:val="center"/>
            <w:hideMark/>
          </w:tcPr>
          <w:p w14:paraId="7622761F" w14:textId="77777777" w:rsidR="00A33BBC" w:rsidRPr="00AE4F97" w:rsidRDefault="00A33BBC" w:rsidP="00F10A9D">
            <w:pPr>
              <w:spacing w:before="0" w:after="0" w:line="240" w:lineRule="auto"/>
              <w:jc w:val="left"/>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54070.Podíl VaV ve vládním sektoru financovaného podnikatelským sektorem</w:t>
            </w:r>
          </w:p>
        </w:tc>
        <w:tc>
          <w:tcPr>
            <w:tcW w:w="1559" w:type="dxa"/>
            <w:tcBorders>
              <w:top w:val="nil"/>
              <w:left w:val="nil"/>
              <w:bottom w:val="single" w:sz="4" w:space="0" w:color="auto"/>
              <w:right w:val="single" w:sz="4" w:space="0" w:color="auto"/>
            </w:tcBorders>
            <w:shd w:val="clear" w:color="auto" w:fill="auto"/>
            <w:noWrap/>
            <w:vAlign w:val="center"/>
            <w:hideMark/>
          </w:tcPr>
          <w:p w14:paraId="231A69D7"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w:t>
            </w:r>
          </w:p>
        </w:tc>
        <w:tc>
          <w:tcPr>
            <w:tcW w:w="1276" w:type="dxa"/>
            <w:tcBorders>
              <w:top w:val="nil"/>
              <w:left w:val="nil"/>
              <w:bottom w:val="single" w:sz="4" w:space="0" w:color="auto"/>
              <w:right w:val="single" w:sz="4" w:space="0" w:color="auto"/>
            </w:tcBorders>
            <w:shd w:val="clear" w:color="auto" w:fill="auto"/>
            <w:noWrap/>
            <w:vAlign w:val="center"/>
            <w:hideMark/>
          </w:tcPr>
          <w:p w14:paraId="475B2A35"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13,52</w:t>
            </w:r>
          </w:p>
        </w:tc>
      </w:tr>
      <w:tr w:rsidR="00A33BBC" w:rsidRPr="00AE4F97" w14:paraId="68554B7D" w14:textId="77777777" w:rsidTr="00F10A9D">
        <w:trPr>
          <w:trHeight w:val="397"/>
        </w:trPr>
        <w:tc>
          <w:tcPr>
            <w:tcW w:w="2707" w:type="dxa"/>
            <w:vMerge/>
            <w:tcBorders>
              <w:top w:val="nil"/>
              <w:left w:val="single" w:sz="4" w:space="0" w:color="auto"/>
              <w:bottom w:val="single" w:sz="4" w:space="0" w:color="auto"/>
              <w:right w:val="single" w:sz="4" w:space="0" w:color="auto"/>
            </w:tcBorders>
            <w:shd w:val="clear" w:color="auto" w:fill="auto"/>
            <w:vAlign w:val="center"/>
            <w:hideMark/>
          </w:tcPr>
          <w:p w14:paraId="31CF0978" w14:textId="77777777" w:rsidR="00A33BBC" w:rsidRPr="00AE4F97" w:rsidRDefault="00A33BBC" w:rsidP="00F10A9D">
            <w:pPr>
              <w:spacing w:before="0" w:after="0" w:line="240" w:lineRule="auto"/>
              <w:jc w:val="left"/>
              <w:rPr>
                <w:rFonts w:eastAsia="Times New Roman" w:cs="Calibri"/>
                <w:b/>
                <w:bCs/>
                <w:color w:val="000000"/>
                <w:spacing w:val="0"/>
                <w:sz w:val="18"/>
                <w:szCs w:val="18"/>
                <w:lang w:eastAsia="cs-CZ" w:bidi="ar-SA"/>
              </w:rPr>
            </w:pPr>
          </w:p>
        </w:tc>
        <w:tc>
          <w:tcPr>
            <w:tcW w:w="3685" w:type="dxa"/>
            <w:tcBorders>
              <w:top w:val="nil"/>
              <w:left w:val="nil"/>
              <w:bottom w:val="single" w:sz="4" w:space="0" w:color="auto"/>
              <w:right w:val="single" w:sz="4" w:space="0" w:color="auto"/>
            </w:tcBorders>
            <w:shd w:val="clear" w:color="auto" w:fill="auto"/>
            <w:vAlign w:val="center"/>
            <w:hideMark/>
          </w:tcPr>
          <w:p w14:paraId="6EAB1BDB" w14:textId="77777777" w:rsidR="00A33BBC" w:rsidRPr="00AE4F97" w:rsidRDefault="00A33BBC" w:rsidP="00F10A9D">
            <w:pPr>
              <w:spacing w:before="0" w:after="0" w:line="240" w:lineRule="auto"/>
              <w:jc w:val="left"/>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54071.Podíl VaV ve vládním sektoru financovaného podnikatelským sektorem z ČR</w:t>
            </w:r>
          </w:p>
        </w:tc>
        <w:tc>
          <w:tcPr>
            <w:tcW w:w="1559" w:type="dxa"/>
            <w:tcBorders>
              <w:top w:val="nil"/>
              <w:left w:val="nil"/>
              <w:bottom w:val="single" w:sz="4" w:space="0" w:color="auto"/>
              <w:right w:val="single" w:sz="4" w:space="0" w:color="auto"/>
            </w:tcBorders>
            <w:shd w:val="clear" w:color="auto" w:fill="auto"/>
            <w:noWrap/>
            <w:vAlign w:val="center"/>
            <w:hideMark/>
          </w:tcPr>
          <w:p w14:paraId="3558838A"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w:t>
            </w:r>
          </w:p>
        </w:tc>
        <w:tc>
          <w:tcPr>
            <w:tcW w:w="1276" w:type="dxa"/>
            <w:tcBorders>
              <w:top w:val="nil"/>
              <w:left w:val="nil"/>
              <w:bottom w:val="single" w:sz="4" w:space="0" w:color="auto"/>
              <w:right w:val="single" w:sz="4" w:space="0" w:color="auto"/>
            </w:tcBorders>
            <w:shd w:val="clear" w:color="auto" w:fill="auto"/>
            <w:noWrap/>
            <w:vAlign w:val="center"/>
            <w:hideMark/>
          </w:tcPr>
          <w:p w14:paraId="1FBB1D07"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4,01</w:t>
            </w:r>
          </w:p>
        </w:tc>
      </w:tr>
      <w:tr w:rsidR="00A33BBC" w:rsidRPr="00AE4F97" w14:paraId="5184F18C" w14:textId="77777777" w:rsidTr="00F10A9D">
        <w:trPr>
          <w:trHeight w:val="397"/>
        </w:trPr>
        <w:tc>
          <w:tcPr>
            <w:tcW w:w="2707" w:type="dxa"/>
            <w:vMerge/>
            <w:tcBorders>
              <w:top w:val="nil"/>
              <w:left w:val="single" w:sz="4" w:space="0" w:color="auto"/>
              <w:bottom w:val="single" w:sz="4" w:space="0" w:color="auto"/>
              <w:right w:val="single" w:sz="4" w:space="0" w:color="auto"/>
            </w:tcBorders>
            <w:shd w:val="clear" w:color="auto" w:fill="auto"/>
            <w:vAlign w:val="center"/>
            <w:hideMark/>
          </w:tcPr>
          <w:p w14:paraId="2B3DF239" w14:textId="77777777" w:rsidR="00A33BBC" w:rsidRPr="00AE4F97" w:rsidRDefault="00A33BBC" w:rsidP="00F10A9D">
            <w:pPr>
              <w:spacing w:before="0" w:after="0" w:line="240" w:lineRule="auto"/>
              <w:jc w:val="left"/>
              <w:rPr>
                <w:rFonts w:eastAsia="Times New Roman" w:cs="Calibri"/>
                <w:b/>
                <w:bCs/>
                <w:color w:val="000000"/>
                <w:spacing w:val="0"/>
                <w:sz w:val="18"/>
                <w:szCs w:val="18"/>
                <w:lang w:eastAsia="cs-CZ" w:bidi="ar-SA"/>
              </w:rPr>
            </w:pPr>
          </w:p>
        </w:tc>
        <w:tc>
          <w:tcPr>
            <w:tcW w:w="3685" w:type="dxa"/>
            <w:tcBorders>
              <w:top w:val="nil"/>
              <w:left w:val="nil"/>
              <w:bottom w:val="single" w:sz="4" w:space="0" w:color="auto"/>
              <w:right w:val="single" w:sz="4" w:space="0" w:color="auto"/>
            </w:tcBorders>
            <w:shd w:val="clear" w:color="auto" w:fill="auto"/>
            <w:vAlign w:val="center"/>
            <w:hideMark/>
          </w:tcPr>
          <w:p w14:paraId="02823932" w14:textId="77777777" w:rsidR="00A33BBC" w:rsidRPr="00AE4F97" w:rsidRDefault="00A33BBC" w:rsidP="00F10A9D">
            <w:pPr>
              <w:spacing w:before="0" w:after="0" w:line="240" w:lineRule="auto"/>
              <w:jc w:val="left"/>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54072.Podíl VaV ve vládním sektoru financovaného podnikatelským sektorem ze zahraničí</w:t>
            </w:r>
          </w:p>
        </w:tc>
        <w:tc>
          <w:tcPr>
            <w:tcW w:w="1559" w:type="dxa"/>
            <w:tcBorders>
              <w:top w:val="nil"/>
              <w:left w:val="nil"/>
              <w:bottom w:val="single" w:sz="4" w:space="0" w:color="auto"/>
              <w:right w:val="single" w:sz="4" w:space="0" w:color="auto"/>
            </w:tcBorders>
            <w:shd w:val="clear" w:color="auto" w:fill="auto"/>
            <w:noWrap/>
            <w:vAlign w:val="center"/>
            <w:hideMark/>
          </w:tcPr>
          <w:p w14:paraId="58D8E763"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w:t>
            </w:r>
          </w:p>
        </w:tc>
        <w:tc>
          <w:tcPr>
            <w:tcW w:w="1276" w:type="dxa"/>
            <w:tcBorders>
              <w:top w:val="nil"/>
              <w:left w:val="nil"/>
              <w:bottom w:val="single" w:sz="4" w:space="0" w:color="auto"/>
              <w:right w:val="single" w:sz="4" w:space="0" w:color="auto"/>
            </w:tcBorders>
            <w:shd w:val="clear" w:color="auto" w:fill="auto"/>
            <w:noWrap/>
            <w:vAlign w:val="center"/>
            <w:hideMark/>
          </w:tcPr>
          <w:p w14:paraId="1431B1F6"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9,50</w:t>
            </w:r>
          </w:p>
        </w:tc>
      </w:tr>
      <w:tr w:rsidR="00A33BBC" w:rsidRPr="00AE4F97" w14:paraId="6A29923C" w14:textId="77777777" w:rsidTr="00F10A9D">
        <w:trPr>
          <w:trHeight w:val="397"/>
        </w:trPr>
        <w:tc>
          <w:tcPr>
            <w:tcW w:w="2707" w:type="dxa"/>
            <w:vMerge/>
            <w:tcBorders>
              <w:top w:val="nil"/>
              <w:left w:val="single" w:sz="4" w:space="0" w:color="auto"/>
              <w:bottom w:val="single" w:sz="4" w:space="0" w:color="auto"/>
              <w:right w:val="single" w:sz="4" w:space="0" w:color="auto"/>
            </w:tcBorders>
            <w:shd w:val="clear" w:color="auto" w:fill="auto"/>
            <w:vAlign w:val="center"/>
            <w:hideMark/>
          </w:tcPr>
          <w:p w14:paraId="74337720" w14:textId="77777777" w:rsidR="00A33BBC" w:rsidRPr="00AE4F97" w:rsidRDefault="00A33BBC" w:rsidP="00F10A9D">
            <w:pPr>
              <w:spacing w:before="0" w:after="0" w:line="240" w:lineRule="auto"/>
              <w:jc w:val="left"/>
              <w:rPr>
                <w:rFonts w:eastAsia="Times New Roman" w:cs="Calibri"/>
                <w:b/>
                <w:bCs/>
                <w:color w:val="000000"/>
                <w:spacing w:val="0"/>
                <w:sz w:val="18"/>
                <w:szCs w:val="18"/>
                <w:lang w:eastAsia="cs-CZ" w:bidi="ar-SA"/>
              </w:rPr>
            </w:pPr>
          </w:p>
        </w:tc>
        <w:tc>
          <w:tcPr>
            <w:tcW w:w="3685" w:type="dxa"/>
            <w:tcBorders>
              <w:top w:val="nil"/>
              <w:left w:val="nil"/>
              <w:bottom w:val="single" w:sz="4" w:space="0" w:color="auto"/>
              <w:right w:val="single" w:sz="4" w:space="0" w:color="auto"/>
            </w:tcBorders>
            <w:shd w:val="clear" w:color="auto" w:fill="auto"/>
            <w:vAlign w:val="center"/>
            <w:hideMark/>
          </w:tcPr>
          <w:p w14:paraId="756DFCB6" w14:textId="77777777" w:rsidR="00A33BBC" w:rsidRPr="00AE4F97" w:rsidRDefault="00A33BBC" w:rsidP="00F10A9D">
            <w:pPr>
              <w:spacing w:before="0" w:after="0" w:line="240" w:lineRule="auto"/>
              <w:jc w:val="left"/>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54080.Podíl VaV ve vysokoškolském sektoru financovaného podnikatelským sektorem</w:t>
            </w:r>
          </w:p>
        </w:tc>
        <w:tc>
          <w:tcPr>
            <w:tcW w:w="1559" w:type="dxa"/>
            <w:tcBorders>
              <w:top w:val="nil"/>
              <w:left w:val="nil"/>
              <w:bottom w:val="single" w:sz="4" w:space="0" w:color="auto"/>
              <w:right w:val="single" w:sz="4" w:space="0" w:color="auto"/>
            </w:tcBorders>
            <w:shd w:val="clear" w:color="auto" w:fill="auto"/>
            <w:noWrap/>
            <w:vAlign w:val="center"/>
            <w:hideMark/>
          </w:tcPr>
          <w:p w14:paraId="1784B626"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w:t>
            </w:r>
          </w:p>
        </w:tc>
        <w:tc>
          <w:tcPr>
            <w:tcW w:w="1276" w:type="dxa"/>
            <w:tcBorders>
              <w:top w:val="nil"/>
              <w:left w:val="nil"/>
              <w:bottom w:val="single" w:sz="4" w:space="0" w:color="auto"/>
              <w:right w:val="single" w:sz="4" w:space="0" w:color="auto"/>
            </w:tcBorders>
            <w:shd w:val="clear" w:color="auto" w:fill="auto"/>
            <w:noWrap/>
            <w:vAlign w:val="center"/>
            <w:hideMark/>
          </w:tcPr>
          <w:p w14:paraId="594C9629"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5,31</w:t>
            </w:r>
          </w:p>
        </w:tc>
      </w:tr>
      <w:tr w:rsidR="00A33BBC" w:rsidRPr="00AE4F97" w14:paraId="4BCB8133" w14:textId="77777777" w:rsidTr="00F10A9D">
        <w:trPr>
          <w:trHeight w:val="397"/>
        </w:trPr>
        <w:tc>
          <w:tcPr>
            <w:tcW w:w="2707" w:type="dxa"/>
            <w:vMerge/>
            <w:tcBorders>
              <w:top w:val="nil"/>
              <w:left w:val="single" w:sz="4" w:space="0" w:color="auto"/>
              <w:bottom w:val="single" w:sz="4" w:space="0" w:color="auto"/>
              <w:right w:val="single" w:sz="4" w:space="0" w:color="auto"/>
            </w:tcBorders>
            <w:shd w:val="clear" w:color="auto" w:fill="auto"/>
            <w:vAlign w:val="center"/>
            <w:hideMark/>
          </w:tcPr>
          <w:p w14:paraId="57DC04DA" w14:textId="77777777" w:rsidR="00A33BBC" w:rsidRPr="00AE4F97" w:rsidRDefault="00A33BBC" w:rsidP="00F10A9D">
            <w:pPr>
              <w:spacing w:before="0" w:after="0" w:line="240" w:lineRule="auto"/>
              <w:jc w:val="left"/>
              <w:rPr>
                <w:rFonts w:eastAsia="Times New Roman" w:cs="Calibri"/>
                <w:b/>
                <w:bCs/>
                <w:color w:val="000000"/>
                <w:spacing w:val="0"/>
                <w:sz w:val="18"/>
                <w:szCs w:val="18"/>
                <w:lang w:eastAsia="cs-CZ" w:bidi="ar-SA"/>
              </w:rPr>
            </w:pPr>
          </w:p>
        </w:tc>
        <w:tc>
          <w:tcPr>
            <w:tcW w:w="3685" w:type="dxa"/>
            <w:tcBorders>
              <w:top w:val="nil"/>
              <w:left w:val="nil"/>
              <w:bottom w:val="single" w:sz="4" w:space="0" w:color="auto"/>
              <w:right w:val="single" w:sz="4" w:space="0" w:color="auto"/>
            </w:tcBorders>
            <w:shd w:val="clear" w:color="auto" w:fill="auto"/>
            <w:vAlign w:val="center"/>
            <w:hideMark/>
          </w:tcPr>
          <w:p w14:paraId="2EB2FF1B" w14:textId="77777777" w:rsidR="00A33BBC" w:rsidRPr="00AE4F97" w:rsidRDefault="00A33BBC" w:rsidP="00F10A9D">
            <w:pPr>
              <w:spacing w:before="0" w:after="0" w:line="240" w:lineRule="auto"/>
              <w:jc w:val="left"/>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54081.Podíl VaV ve vysokoškolském sektoru financovaného podnikatelským sektorem z ČR</w:t>
            </w:r>
          </w:p>
        </w:tc>
        <w:tc>
          <w:tcPr>
            <w:tcW w:w="1559" w:type="dxa"/>
            <w:tcBorders>
              <w:top w:val="nil"/>
              <w:left w:val="nil"/>
              <w:bottom w:val="single" w:sz="4" w:space="0" w:color="auto"/>
              <w:right w:val="single" w:sz="4" w:space="0" w:color="auto"/>
            </w:tcBorders>
            <w:shd w:val="clear" w:color="auto" w:fill="auto"/>
            <w:noWrap/>
            <w:vAlign w:val="center"/>
            <w:hideMark/>
          </w:tcPr>
          <w:p w14:paraId="23F17578"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w:t>
            </w:r>
          </w:p>
        </w:tc>
        <w:tc>
          <w:tcPr>
            <w:tcW w:w="1276" w:type="dxa"/>
            <w:tcBorders>
              <w:top w:val="nil"/>
              <w:left w:val="nil"/>
              <w:bottom w:val="single" w:sz="4" w:space="0" w:color="auto"/>
              <w:right w:val="single" w:sz="4" w:space="0" w:color="auto"/>
            </w:tcBorders>
            <w:shd w:val="clear" w:color="auto" w:fill="auto"/>
            <w:noWrap/>
            <w:vAlign w:val="center"/>
            <w:hideMark/>
          </w:tcPr>
          <w:p w14:paraId="01343B17"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4,69</w:t>
            </w:r>
          </w:p>
        </w:tc>
      </w:tr>
      <w:tr w:rsidR="00A33BBC" w:rsidRPr="00AE4F97" w14:paraId="27DD7F9B" w14:textId="77777777" w:rsidTr="00F10A9D">
        <w:trPr>
          <w:trHeight w:val="397"/>
        </w:trPr>
        <w:tc>
          <w:tcPr>
            <w:tcW w:w="2707" w:type="dxa"/>
            <w:vMerge/>
            <w:tcBorders>
              <w:top w:val="nil"/>
              <w:left w:val="single" w:sz="4" w:space="0" w:color="auto"/>
              <w:bottom w:val="single" w:sz="4" w:space="0" w:color="auto"/>
              <w:right w:val="single" w:sz="4" w:space="0" w:color="auto"/>
            </w:tcBorders>
            <w:shd w:val="clear" w:color="auto" w:fill="auto"/>
            <w:vAlign w:val="center"/>
            <w:hideMark/>
          </w:tcPr>
          <w:p w14:paraId="592862EF" w14:textId="77777777" w:rsidR="00A33BBC" w:rsidRPr="00AE4F97" w:rsidRDefault="00A33BBC" w:rsidP="00F10A9D">
            <w:pPr>
              <w:spacing w:before="0" w:after="0" w:line="240" w:lineRule="auto"/>
              <w:jc w:val="left"/>
              <w:rPr>
                <w:rFonts w:eastAsia="Times New Roman" w:cs="Calibri"/>
                <w:b/>
                <w:bCs/>
                <w:color w:val="000000"/>
                <w:spacing w:val="0"/>
                <w:sz w:val="18"/>
                <w:szCs w:val="18"/>
                <w:lang w:eastAsia="cs-CZ" w:bidi="ar-SA"/>
              </w:rPr>
            </w:pPr>
          </w:p>
        </w:tc>
        <w:tc>
          <w:tcPr>
            <w:tcW w:w="3685" w:type="dxa"/>
            <w:tcBorders>
              <w:top w:val="nil"/>
              <w:left w:val="nil"/>
              <w:bottom w:val="single" w:sz="4" w:space="0" w:color="auto"/>
              <w:right w:val="single" w:sz="4" w:space="0" w:color="auto"/>
            </w:tcBorders>
            <w:shd w:val="clear" w:color="auto" w:fill="auto"/>
            <w:vAlign w:val="center"/>
            <w:hideMark/>
          </w:tcPr>
          <w:p w14:paraId="7D685538" w14:textId="77777777" w:rsidR="00A33BBC" w:rsidRPr="00AE4F97" w:rsidRDefault="00A33BBC" w:rsidP="00F10A9D">
            <w:pPr>
              <w:spacing w:before="0" w:after="0" w:line="240" w:lineRule="auto"/>
              <w:jc w:val="left"/>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54082.Podíl VaV ve vysokoškolském sektoru financovaného podnikatelským sektorem ze zahraničí</w:t>
            </w:r>
          </w:p>
        </w:tc>
        <w:tc>
          <w:tcPr>
            <w:tcW w:w="1559" w:type="dxa"/>
            <w:tcBorders>
              <w:top w:val="nil"/>
              <w:left w:val="nil"/>
              <w:bottom w:val="single" w:sz="4" w:space="0" w:color="auto"/>
              <w:right w:val="single" w:sz="4" w:space="0" w:color="auto"/>
            </w:tcBorders>
            <w:shd w:val="clear" w:color="auto" w:fill="auto"/>
            <w:noWrap/>
            <w:vAlign w:val="center"/>
            <w:hideMark/>
          </w:tcPr>
          <w:p w14:paraId="269A42DA"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w:t>
            </w:r>
          </w:p>
        </w:tc>
        <w:tc>
          <w:tcPr>
            <w:tcW w:w="1276" w:type="dxa"/>
            <w:tcBorders>
              <w:top w:val="nil"/>
              <w:left w:val="nil"/>
              <w:bottom w:val="single" w:sz="4" w:space="0" w:color="auto"/>
              <w:right w:val="single" w:sz="4" w:space="0" w:color="auto"/>
            </w:tcBorders>
            <w:shd w:val="clear" w:color="auto" w:fill="auto"/>
            <w:noWrap/>
            <w:vAlign w:val="center"/>
            <w:hideMark/>
          </w:tcPr>
          <w:p w14:paraId="07036244"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0,63</w:t>
            </w:r>
          </w:p>
        </w:tc>
      </w:tr>
      <w:tr w:rsidR="00A33BBC" w:rsidRPr="00AE4F97" w14:paraId="3EEE84D0" w14:textId="77777777" w:rsidTr="00F10A9D">
        <w:trPr>
          <w:trHeight w:val="397"/>
        </w:trPr>
        <w:tc>
          <w:tcPr>
            <w:tcW w:w="2707" w:type="dxa"/>
            <w:vMerge w:val="restart"/>
            <w:tcBorders>
              <w:top w:val="nil"/>
              <w:left w:val="single" w:sz="4" w:space="0" w:color="auto"/>
              <w:bottom w:val="single" w:sz="4" w:space="0" w:color="auto"/>
              <w:right w:val="single" w:sz="4" w:space="0" w:color="auto"/>
            </w:tcBorders>
            <w:shd w:val="clear" w:color="auto" w:fill="auto"/>
            <w:vAlign w:val="center"/>
            <w:hideMark/>
          </w:tcPr>
          <w:p w14:paraId="777519EC" w14:textId="77777777" w:rsidR="00A33BBC" w:rsidRPr="00AE4F97" w:rsidRDefault="00A33BBC" w:rsidP="00F10A9D">
            <w:pPr>
              <w:spacing w:before="0" w:after="0" w:line="240" w:lineRule="auto"/>
              <w:jc w:val="left"/>
              <w:rPr>
                <w:rFonts w:eastAsia="Times New Roman" w:cs="Calibri"/>
                <w:b/>
                <w:bCs/>
                <w:color w:val="000000"/>
                <w:spacing w:val="0"/>
                <w:sz w:val="18"/>
                <w:szCs w:val="18"/>
                <w:lang w:eastAsia="cs-CZ" w:bidi="ar-SA"/>
              </w:rPr>
            </w:pPr>
            <w:r w:rsidRPr="00AE4F97">
              <w:rPr>
                <w:rFonts w:eastAsia="Times New Roman" w:cs="Calibri"/>
                <w:b/>
                <w:bCs/>
                <w:color w:val="000000"/>
                <w:spacing w:val="0"/>
                <w:sz w:val="18"/>
                <w:szCs w:val="18"/>
                <w:lang w:eastAsia="cs-CZ" w:bidi="ar-SA"/>
              </w:rPr>
              <w:t>D Lepší nabídka lidí v počtu i kvalitě pro inovační podnikání, výzkum a vývoj</w:t>
            </w:r>
          </w:p>
        </w:tc>
        <w:tc>
          <w:tcPr>
            <w:tcW w:w="3685" w:type="dxa"/>
            <w:tcBorders>
              <w:top w:val="nil"/>
              <w:left w:val="nil"/>
              <w:bottom w:val="single" w:sz="4" w:space="0" w:color="auto"/>
              <w:right w:val="single" w:sz="4" w:space="0" w:color="auto"/>
            </w:tcBorders>
            <w:shd w:val="clear" w:color="auto" w:fill="auto"/>
            <w:vAlign w:val="center"/>
            <w:hideMark/>
          </w:tcPr>
          <w:p w14:paraId="627070E9" w14:textId="77777777" w:rsidR="00A33BBC" w:rsidRPr="00AE4F97" w:rsidRDefault="00A33BBC" w:rsidP="00F10A9D">
            <w:pPr>
              <w:spacing w:before="0" w:after="0" w:line="240" w:lineRule="auto"/>
              <w:jc w:val="left"/>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54040.Celkový počet zaměstnaných ve VaV na 1000 zaměstnaných v národním hospodářství</w:t>
            </w:r>
          </w:p>
        </w:tc>
        <w:tc>
          <w:tcPr>
            <w:tcW w:w="1559" w:type="dxa"/>
            <w:tcBorders>
              <w:top w:val="nil"/>
              <w:left w:val="nil"/>
              <w:bottom w:val="single" w:sz="4" w:space="0" w:color="auto"/>
              <w:right w:val="single" w:sz="4" w:space="0" w:color="auto"/>
            </w:tcBorders>
            <w:shd w:val="clear" w:color="auto" w:fill="auto"/>
            <w:noWrap/>
            <w:vAlign w:val="center"/>
            <w:hideMark/>
          </w:tcPr>
          <w:p w14:paraId="0EA8965B"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promile</w:t>
            </w:r>
          </w:p>
        </w:tc>
        <w:tc>
          <w:tcPr>
            <w:tcW w:w="1276" w:type="dxa"/>
            <w:tcBorders>
              <w:top w:val="nil"/>
              <w:left w:val="nil"/>
              <w:bottom w:val="single" w:sz="4" w:space="0" w:color="auto"/>
              <w:right w:val="single" w:sz="4" w:space="0" w:color="auto"/>
            </w:tcBorders>
            <w:shd w:val="clear" w:color="auto" w:fill="auto"/>
            <w:noWrap/>
            <w:vAlign w:val="center"/>
            <w:hideMark/>
          </w:tcPr>
          <w:p w14:paraId="749CD043"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19,03</w:t>
            </w:r>
          </w:p>
        </w:tc>
      </w:tr>
      <w:tr w:rsidR="00A33BBC" w:rsidRPr="00AE4F97" w14:paraId="3202368F" w14:textId="77777777" w:rsidTr="00F10A9D">
        <w:trPr>
          <w:trHeight w:val="397"/>
        </w:trPr>
        <w:tc>
          <w:tcPr>
            <w:tcW w:w="2707" w:type="dxa"/>
            <w:vMerge/>
            <w:tcBorders>
              <w:top w:val="nil"/>
              <w:left w:val="single" w:sz="4" w:space="0" w:color="auto"/>
              <w:bottom w:val="single" w:sz="4" w:space="0" w:color="auto"/>
              <w:right w:val="single" w:sz="4" w:space="0" w:color="auto"/>
            </w:tcBorders>
            <w:shd w:val="clear" w:color="auto" w:fill="auto"/>
            <w:vAlign w:val="center"/>
            <w:hideMark/>
          </w:tcPr>
          <w:p w14:paraId="5F69FDBF" w14:textId="77777777" w:rsidR="00A33BBC" w:rsidRPr="00AE4F97" w:rsidRDefault="00A33BBC" w:rsidP="00F10A9D">
            <w:pPr>
              <w:spacing w:before="0" w:after="0" w:line="240" w:lineRule="auto"/>
              <w:jc w:val="left"/>
              <w:rPr>
                <w:rFonts w:eastAsia="Times New Roman" w:cs="Calibri"/>
                <w:b/>
                <w:bCs/>
                <w:color w:val="000000"/>
                <w:spacing w:val="0"/>
                <w:sz w:val="18"/>
                <w:szCs w:val="18"/>
                <w:lang w:eastAsia="cs-CZ" w:bidi="ar-SA"/>
              </w:rPr>
            </w:pPr>
          </w:p>
        </w:tc>
        <w:tc>
          <w:tcPr>
            <w:tcW w:w="3685" w:type="dxa"/>
            <w:tcBorders>
              <w:top w:val="nil"/>
              <w:left w:val="nil"/>
              <w:bottom w:val="single" w:sz="4" w:space="0" w:color="auto"/>
              <w:right w:val="single" w:sz="4" w:space="0" w:color="auto"/>
            </w:tcBorders>
            <w:shd w:val="clear" w:color="auto" w:fill="auto"/>
            <w:vAlign w:val="center"/>
            <w:hideMark/>
          </w:tcPr>
          <w:p w14:paraId="00386E98" w14:textId="77777777" w:rsidR="00A33BBC" w:rsidRPr="00AE4F97" w:rsidRDefault="00A33BBC" w:rsidP="00F10A9D">
            <w:pPr>
              <w:spacing w:before="0" w:after="0" w:line="240" w:lineRule="auto"/>
              <w:jc w:val="left"/>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54050.Celkový počet výzkumných pracovníků na 1000 zaměstnaných v národním hospodářství</w:t>
            </w:r>
          </w:p>
        </w:tc>
        <w:tc>
          <w:tcPr>
            <w:tcW w:w="1559" w:type="dxa"/>
            <w:tcBorders>
              <w:top w:val="nil"/>
              <w:left w:val="nil"/>
              <w:bottom w:val="single" w:sz="4" w:space="0" w:color="auto"/>
              <w:right w:val="single" w:sz="4" w:space="0" w:color="auto"/>
            </w:tcBorders>
            <w:shd w:val="clear" w:color="auto" w:fill="auto"/>
            <w:noWrap/>
            <w:vAlign w:val="center"/>
            <w:hideMark/>
          </w:tcPr>
          <w:p w14:paraId="0FF76768"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promile</w:t>
            </w:r>
          </w:p>
        </w:tc>
        <w:tc>
          <w:tcPr>
            <w:tcW w:w="1276" w:type="dxa"/>
            <w:tcBorders>
              <w:top w:val="nil"/>
              <w:left w:val="nil"/>
              <w:bottom w:val="single" w:sz="4" w:space="0" w:color="auto"/>
              <w:right w:val="single" w:sz="4" w:space="0" w:color="auto"/>
            </w:tcBorders>
            <w:shd w:val="clear" w:color="auto" w:fill="auto"/>
            <w:noWrap/>
            <w:vAlign w:val="center"/>
            <w:hideMark/>
          </w:tcPr>
          <w:p w14:paraId="2146BE60"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10,70</w:t>
            </w:r>
          </w:p>
        </w:tc>
      </w:tr>
      <w:tr w:rsidR="00A33BBC" w:rsidRPr="00AE4F97" w14:paraId="40AC6AB2" w14:textId="77777777" w:rsidTr="00F10A9D">
        <w:trPr>
          <w:trHeight w:val="397"/>
        </w:trPr>
        <w:tc>
          <w:tcPr>
            <w:tcW w:w="2707" w:type="dxa"/>
            <w:vMerge/>
            <w:tcBorders>
              <w:top w:val="nil"/>
              <w:left w:val="single" w:sz="4" w:space="0" w:color="auto"/>
              <w:bottom w:val="single" w:sz="4" w:space="0" w:color="auto"/>
              <w:right w:val="single" w:sz="4" w:space="0" w:color="auto"/>
            </w:tcBorders>
            <w:shd w:val="clear" w:color="auto" w:fill="auto"/>
            <w:vAlign w:val="center"/>
            <w:hideMark/>
          </w:tcPr>
          <w:p w14:paraId="19F3D528" w14:textId="77777777" w:rsidR="00A33BBC" w:rsidRPr="00AE4F97" w:rsidRDefault="00A33BBC" w:rsidP="00F10A9D">
            <w:pPr>
              <w:spacing w:before="0" w:after="0" w:line="240" w:lineRule="auto"/>
              <w:jc w:val="left"/>
              <w:rPr>
                <w:rFonts w:eastAsia="Times New Roman" w:cs="Calibri"/>
                <w:b/>
                <w:bCs/>
                <w:color w:val="000000"/>
                <w:spacing w:val="0"/>
                <w:sz w:val="18"/>
                <w:szCs w:val="18"/>
                <w:lang w:eastAsia="cs-CZ" w:bidi="ar-SA"/>
              </w:rPr>
            </w:pPr>
          </w:p>
        </w:tc>
        <w:tc>
          <w:tcPr>
            <w:tcW w:w="3685" w:type="dxa"/>
            <w:tcBorders>
              <w:top w:val="nil"/>
              <w:left w:val="nil"/>
              <w:bottom w:val="single" w:sz="4" w:space="0" w:color="auto"/>
              <w:right w:val="single" w:sz="4" w:space="0" w:color="auto"/>
            </w:tcBorders>
            <w:shd w:val="clear" w:color="auto" w:fill="auto"/>
            <w:vAlign w:val="center"/>
            <w:hideMark/>
          </w:tcPr>
          <w:p w14:paraId="3A4524C4" w14:textId="77777777" w:rsidR="00A33BBC" w:rsidRPr="00AE4F97" w:rsidRDefault="00A33BBC" w:rsidP="00F10A9D">
            <w:pPr>
              <w:spacing w:before="0" w:after="0" w:line="240" w:lineRule="auto"/>
              <w:jc w:val="left"/>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60020.Míra účasti zaměstnaných v dalším vzdělávání (25-64let)</w:t>
            </w:r>
          </w:p>
        </w:tc>
        <w:tc>
          <w:tcPr>
            <w:tcW w:w="1559" w:type="dxa"/>
            <w:tcBorders>
              <w:top w:val="nil"/>
              <w:left w:val="nil"/>
              <w:bottom w:val="single" w:sz="4" w:space="0" w:color="auto"/>
              <w:right w:val="single" w:sz="4" w:space="0" w:color="auto"/>
            </w:tcBorders>
            <w:shd w:val="clear" w:color="auto" w:fill="auto"/>
            <w:noWrap/>
            <w:vAlign w:val="center"/>
            <w:hideMark/>
          </w:tcPr>
          <w:p w14:paraId="09A046C0"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w:t>
            </w:r>
          </w:p>
        </w:tc>
        <w:tc>
          <w:tcPr>
            <w:tcW w:w="1276" w:type="dxa"/>
            <w:tcBorders>
              <w:top w:val="nil"/>
              <w:left w:val="nil"/>
              <w:bottom w:val="single" w:sz="4" w:space="0" w:color="auto"/>
              <w:right w:val="single" w:sz="4" w:space="0" w:color="auto"/>
            </w:tcBorders>
            <w:shd w:val="clear" w:color="auto" w:fill="auto"/>
            <w:noWrap/>
            <w:vAlign w:val="center"/>
            <w:hideMark/>
          </w:tcPr>
          <w:p w14:paraId="64C6FB88"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8,1</w:t>
            </w:r>
          </w:p>
        </w:tc>
      </w:tr>
      <w:tr w:rsidR="00A33BBC" w:rsidRPr="00AE4F97" w14:paraId="433DE682" w14:textId="77777777" w:rsidTr="00F10A9D">
        <w:trPr>
          <w:trHeight w:val="397"/>
        </w:trPr>
        <w:tc>
          <w:tcPr>
            <w:tcW w:w="2707" w:type="dxa"/>
            <w:vMerge w:val="restart"/>
            <w:tcBorders>
              <w:top w:val="nil"/>
              <w:left w:val="single" w:sz="4" w:space="0" w:color="auto"/>
              <w:bottom w:val="single" w:sz="4" w:space="0" w:color="auto"/>
              <w:right w:val="single" w:sz="4" w:space="0" w:color="auto"/>
            </w:tcBorders>
            <w:shd w:val="clear" w:color="auto" w:fill="auto"/>
            <w:vAlign w:val="center"/>
            <w:hideMark/>
          </w:tcPr>
          <w:p w14:paraId="318603C9" w14:textId="77777777" w:rsidR="00A33BBC" w:rsidRPr="00AE4F97" w:rsidRDefault="00A33BBC" w:rsidP="00F10A9D">
            <w:pPr>
              <w:spacing w:before="0" w:after="0" w:line="240" w:lineRule="auto"/>
              <w:jc w:val="left"/>
              <w:rPr>
                <w:rFonts w:eastAsia="Times New Roman" w:cs="Calibri"/>
                <w:b/>
                <w:bCs/>
                <w:color w:val="000000"/>
                <w:spacing w:val="0"/>
                <w:sz w:val="18"/>
                <w:szCs w:val="18"/>
                <w:lang w:eastAsia="cs-CZ" w:bidi="ar-SA"/>
              </w:rPr>
            </w:pPr>
            <w:r w:rsidRPr="00AE4F97">
              <w:rPr>
                <w:rFonts w:eastAsia="Times New Roman" w:cs="Calibri"/>
                <w:b/>
                <w:bCs/>
                <w:color w:val="000000"/>
                <w:spacing w:val="0"/>
                <w:sz w:val="18"/>
                <w:szCs w:val="18"/>
                <w:lang w:eastAsia="cs-CZ" w:bidi="ar-SA"/>
              </w:rPr>
              <w:t xml:space="preserve">E Rozvoj eGovernmentu a eBusinessu pro zvýšení konkurenceschopnosti </w:t>
            </w:r>
            <w:r w:rsidRPr="00AE4F97">
              <w:rPr>
                <w:rFonts w:eastAsia="Times New Roman" w:cs="Calibri"/>
                <w:b/>
                <w:bCs/>
                <w:color w:val="000000"/>
                <w:spacing w:val="0"/>
                <w:sz w:val="18"/>
                <w:szCs w:val="18"/>
                <w:lang w:eastAsia="cs-CZ" w:bidi="ar-SA"/>
              </w:rPr>
              <w:br/>
              <w:t>(rozvoj ICT a digitální agenda)</w:t>
            </w:r>
          </w:p>
        </w:tc>
        <w:tc>
          <w:tcPr>
            <w:tcW w:w="3685" w:type="dxa"/>
            <w:tcBorders>
              <w:top w:val="nil"/>
              <w:left w:val="nil"/>
              <w:bottom w:val="single" w:sz="4" w:space="0" w:color="auto"/>
              <w:right w:val="single" w:sz="4" w:space="0" w:color="auto"/>
            </w:tcBorders>
            <w:shd w:val="clear" w:color="auto" w:fill="auto"/>
            <w:vAlign w:val="center"/>
            <w:hideMark/>
          </w:tcPr>
          <w:p w14:paraId="7D4BF6AE" w14:textId="77777777" w:rsidR="00A33BBC" w:rsidRPr="00AE4F97" w:rsidRDefault="00A33BBC" w:rsidP="00F10A9D">
            <w:pPr>
              <w:spacing w:before="0" w:after="0" w:line="240" w:lineRule="auto"/>
              <w:jc w:val="left"/>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30001.ICT sektor - přidaná hodnota</w:t>
            </w:r>
          </w:p>
        </w:tc>
        <w:tc>
          <w:tcPr>
            <w:tcW w:w="1559" w:type="dxa"/>
            <w:tcBorders>
              <w:top w:val="nil"/>
              <w:left w:val="nil"/>
              <w:bottom w:val="single" w:sz="4" w:space="0" w:color="auto"/>
              <w:right w:val="single" w:sz="4" w:space="0" w:color="auto"/>
            </w:tcBorders>
            <w:shd w:val="clear" w:color="auto" w:fill="auto"/>
            <w:noWrap/>
            <w:vAlign w:val="center"/>
            <w:hideMark/>
          </w:tcPr>
          <w:p w14:paraId="6643680C"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mil. Kč</w:t>
            </w:r>
          </w:p>
        </w:tc>
        <w:tc>
          <w:tcPr>
            <w:tcW w:w="1276" w:type="dxa"/>
            <w:tcBorders>
              <w:top w:val="nil"/>
              <w:left w:val="nil"/>
              <w:bottom w:val="single" w:sz="4" w:space="0" w:color="auto"/>
              <w:right w:val="single" w:sz="4" w:space="0" w:color="auto"/>
            </w:tcBorders>
            <w:shd w:val="clear" w:color="auto" w:fill="auto"/>
            <w:noWrap/>
            <w:vAlign w:val="center"/>
            <w:hideMark/>
          </w:tcPr>
          <w:p w14:paraId="42FB717F"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182 453</w:t>
            </w:r>
          </w:p>
        </w:tc>
      </w:tr>
      <w:tr w:rsidR="00A33BBC" w:rsidRPr="00AE4F97" w14:paraId="0BFA4207" w14:textId="77777777" w:rsidTr="00F10A9D">
        <w:trPr>
          <w:trHeight w:val="397"/>
        </w:trPr>
        <w:tc>
          <w:tcPr>
            <w:tcW w:w="2707" w:type="dxa"/>
            <w:vMerge/>
            <w:tcBorders>
              <w:top w:val="nil"/>
              <w:left w:val="single" w:sz="4" w:space="0" w:color="auto"/>
              <w:bottom w:val="single" w:sz="4" w:space="0" w:color="auto"/>
              <w:right w:val="single" w:sz="4" w:space="0" w:color="auto"/>
            </w:tcBorders>
            <w:shd w:val="clear" w:color="auto" w:fill="auto"/>
            <w:vAlign w:val="center"/>
            <w:hideMark/>
          </w:tcPr>
          <w:p w14:paraId="38C0ED1B" w14:textId="77777777" w:rsidR="00A33BBC" w:rsidRPr="00AE4F97" w:rsidRDefault="00A33BBC" w:rsidP="00F10A9D">
            <w:pPr>
              <w:spacing w:before="0" w:after="0" w:line="240" w:lineRule="auto"/>
              <w:jc w:val="left"/>
              <w:rPr>
                <w:rFonts w:eastAsia="Times New Roman" w:cs="Calibri"/>
                <w:b/>
                <w:bCs/>
                <w:color w:val="000000"/>
                <w:spacing w:val="0"/>
                <w:sz w:val="18"/>
                <w:szCs w:val="18"/>
                <w:lang w:eastAsia="cs-CZ" w:bidi="ar-SA"/>
              </w:rPr>
            </w:pPr>
          </w:p>
        </w:tc>
        <w:tc>
          <w:tcPr>
            <w:tcW w:w="3685" w:type="dxa"/>
            <w:tcBorders>
              <w:top w:val="nil"/>
              <w:left w:val="nil"/>
              <w:bottom w:val="single" w:sz="4" w:space="0" w:color="auto"/>
              <w:right w:val="single" w:sz="4" w:space="0" w:color="auto"/>
            </w:tcBorders>
            <w:shd w:val="clear" w:color="auto" w:fill="auto"/>
            <w:vAlign w:val="center"/>
            <w:hideMark/>
          </w:tcPr>
          <w:p w14:paraId="5C550384" w14:textId="77777777" w:rsidR="00A33BBC" w:rsidRPr="00AE4F97" w:rsidRDefault="00A33BBC" w:rsidP="00F10A9D">
            <w:pPr>
              <w:spacing w:before="0" w:after="0" w:line="240" w:lineRule="auto"/>
              <w:jc w:val="left"/>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30100.Počet zaměstnaných osob v ICT sektoru</w:t>
            </w:r>
          </w:p>
        </w:tc>
        <w:tc>
          <w:tcPr>
            <w:tcW w:w="1559" w:type="dxa"/>
            <w:tcBorders>
              <w:top w:val="nil"/>
              <w:left w:val="nil"/>
              <w:bottom w:val="single" w:sz="4" w:space="0" w:color="auto"/>
              <w:right w:val="single" w:sz="4" w:space="0" w:color="auto"/>
            </w:tcBorders>
            <w:shd w:val="clear" w:color="auto" w:fill="auto"/>
            <w:noWrap/>
            <w:vAlign w:val="center"/>
            <w:hideMark/>
          </w:tcPr>
          <w:p w14:paraId="4474CF92"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Fyzické osoby</w:t>
            </w:r>
          </w:p>
        </w:tc>
        <w:tc>
          <w:tcPr>
            <w:tcW w:w="1276" w:type="dxa"/>
            <w:tcBorders>
              <w:top w:val="nil"/>
              <w:left w:val="nil"/>
              <w:bottom w:val="single" w:sz="4" w:space="0" w:color="auto"/>
              <w:right w:val="single" w:sz="4" w:space="0" w:color="auto"/>
            </w:tcBorders>
            <w:shd w:val="clear" w:color="auto" w:fill="auto"/>
            <w:noWrap/>
            <w:vAlign w:val="center"/>
            <w:hideMark/>
          </w:tcPr>
          <w:p w14:paraId="504BEE1A" w14:textId="77777777" w:rsidR="00A33BBC" w:rsidRPr="00AE4F97" w:rsidRDefault="00A33BBC" w:rsidP="00F10A9D">
            <w:pPr>
              <w:spacing w:before="0" w:after="0" w:line="240" w:lineRule="auto"/>
              <w:jc w:val="center"/>
              <w:rPr>
                <w:rFonts w:eastAsia="Times New Roman" w:cs="Calibri"/>
                <w:color w:val="000000"/>
                <w:spacing w:val="0"/>
                <w:sz w:val="18"/>
                <w:szCs w:val="18"/>
                <w:lang w:eastAsia="cs-CZ" w:bidi="ar-SA"/>
              </w:rPr>
            </w:pPr>
            <w:r w:rsidRPr="00AE4F97">
              <w:rPr>
                <w:rFonts w:eastAsia="Times New Roman" w:cs="Calibri"/>
                <w:color w:val="000000"/>
                <w:spacing w:val="0"/>
                <w:sz w:val="18"/>
                <w:szCs w:val="18"/>
                <w:lang w:eastAsia="cs-CZ" w:bidi="ar-SA"/>
              </w:rPr>
              <w:t>157 796</w:t>
            </w:r>
          </w:p>
        </w:tc>
      </w:tr>
    </w:tbl>
    <w:p w14:paraId="1AC3AD35" w14:textId="77777777" w:rsidR="00A33BBC" w:rsidRPr="005C6DF2" w:rsidRDefault="00A33BBC" w:rsidP="00A33BBC">
      <w:pPr>
        <w:spacing w:before="0"/>
        <w:rPr>
          <w:sz w:val="18"/>
          <w:szCs w:val="18"/>
          <w:lang w:bidi="ar-SA"/>
        </w:rPr>
      </w:pPr>
      <w:r w:rsidRPr="005C6DF2">
        <w:rPr>
          <w:sz w:val="18"/>
          <w:szCs w:val="18"/>
          <w:lang w:bidi="ar-SA"/>
        </w:rPr>
        <w:t>Zdroj: Národní RIS3 strategie (2018)</w:t>
      </w:r>
    </w:p>
    <w:p w14:paraId="5FD8999A" w14:textId="77777777" w:rsidR="00F73C3A" w:rsidRDefault="00F73C3A">
      <w:pPr>
        <w:spacing w:before="0" w:after="0" w:line="240" w:lineRule="auto"/>
        <w:jc w:val="left"/>
        <w:rPr>
          <w:lang w:bidi="ar-SA"/>
        </w:rPr>
      </w:pPr>
      <w:r>
        <w:rPr>
          <w:lang w:bidi="ar-SA"/>
        </w:rPr>
        <w:br w:type="page"/>
      </w:r>
    </w:p>
    <w:p w14:paraId="13899080" w14:textId="77777777" w:rsidR="00A33BBC" w:rsidRDefault="00A33BBC" w:rsidP="00A33BBC">
      <w:pPr>
        <w:rPr>
          <w:lang w:bidi="ar-SA"/>
        </w:rPr>
      </w:pPr>
      <w:r>
        <w:rPr>
          <w:lang w:bidi="ar-SA"/>
        </w:rPr>
        <w:lastRenderedPageBreak/>
        <w:t>Indikátory stanovené pro hodnocení strategických cílů mají výsledkový charakter. Problémem je jejich aktuální hodnota, která není pro evaluaci k dispozi</w:t>
      </w:r>
      <w:r w:rsidR="00950AC0">
        <w:rPr>
          <w:lang w:bidi="ar-SA"/>
        </w:rPr>
        <w:t>ci. Poslední dostupná data jsou</w:t>
      </w:r>
      <w:r w:rsidR="00950AC0">
        <w:rPr>
          <w:lang w:bidi="ar-SA"/>
        </w:rPr>
        <w:br/>
      </w:r>
      <w:r>
        <w:rPr>
          <w:lang w:bidi="ar-SA"/>
        </w:rPr>
        <w:t>k 31.</w:t>
      </w:r>
      <w:r w:rsidR="00950AC0">
        <w:rPr>
          <w:lang w:bidi="ar-SA"/>
        </w:rPr>
        <w:t xml:space="preserve"> </w:t>
      </w:r>
      <w:r>
        <w:rPr>
          <w:lang w:bidi="ar-SA"/>
        </w:rPr>
        <w:t>12.</w:t>
      </w:r>
      <w:r w:rsidR="00950AC0">
        <w:rPr>
          <w:lang w:bidi="ar-SA"/>
        </w:rPr>
        <w:t xml:space="preserve"> </w:t>
      </w:r>
      <w:r>
        <w:rPr>
          <w:lang w:bidi="ar-SA"/>
        </w:rPr>
        <w:t>2016.</w:t>
      </w:r>
    </w:p>
    <w:p w14:paraId="1F793307" w14:textId="77777777" w:rsidR="00A33BBC" w:rsidRPr="00C67F17" w:rsidRDefault="00A33BBC" w:rsidP="00A33BBC">
      <w:pPr>
        <w:rPr>
          <w:lang w:bidi="ar-SA"/>
        </w:rPr>
      </w:pPr>
    </w:p>
    <w:p w14:paraId="07A753AF" w14:textId="77777777" w:rsidR="00505E60" w:rsidRPr="00505E60" w:rsidRDefault="00505E60" w:rsidP="00505E60">
      <w:bookmarkStart w:id="71" w:name="_Toc5626524"/>
      <w:r w:rsidRPr="00C64D59">
        <w:rPr>
          <w:rFonts w:cs="Arial-ItalicMT"/>
          <w:b/>
          <w:iCs/>
          <w:szCs w:val="22"/>
        </w:rPr>
        <w:t xml:space="preserve">Tabulka č. </w:t>
      </w:r>
      <w:r w:rsidR="008A090D" w:rsidRPr="00C64D59">
        <w:rPr>
          <w:rFonts w:cs="Arial-ItalicMT"/>
          <w:b/>
          <w:iCs/>
          <w:szCs w:val="22"/>
        </w:rPr>
        <w:fldChar w:fldCharType="begin"/>
      </w:r>
      <w:r w:rsidRPr="00C64D59">
        <w:rPr>
          <w:rFonts w:cs="Arial-ItalicMT"/>
          <w:b/>
          <w:iCs/>
          <w:szCs w:val="22"/>
        </w:rPr>
        <w:instrText xml:space="preserve"> SEQ Tabulka_č._ \* ARABIC </w:instrText>
      </w:r>
      <w:r w:rsidR="008A090D" w:rsidRPr="00C64D59">
        <w:rPr>
          <w:rFonts w:cs="Arial-ItalicMT"/>
          <w:b/>
          <w:iCs/>
          <w:szCs w:val="22"/>
        </w:rPr>
        <w:fldChar w:fldCharType="separate"/>
      </w:r>
      <w:r w:rsidR="002309D5">
        <w:rPr>
          <w:rFonts w:cs="Arial-ItalicMT"/>
          <w:b/>
          <w:iCs/>
          <w:noProof/>
          <w:szCs w:val="22"/>
        </w:rPr>
        <w:t>15</w:t>
      </w:r>
      <w:r w:rsidR="008A090D" w:rsidRPr="00C64D59">
        <w:rPr>
          <w:rFonts w:cs="Arial-ItalicMT"/>
          <w:b/>
          <w:iCs/>
          <w:szCs w:val="22"/>
        </w:rPr>
        <w:fldChar w:fldCharType="end"/>
      </w:r>
      <w:r w:rsidRPr="00C64D59">
        <w:rPr>
          <w:rFonts w:cs="Arial-ItalicMT"/>
          <w:b/>
          <w:iCs/>
          <w:szCs w:val="22"/>
        </w:rPr>
        <w:t xml:space="preserve"> -</w:t>
      </w:r>
      <w:r w:rsidRPr="00D66402">
        <w:rPr>
          <w:rFonts w:cs="Arial-ItalicMT"/>
          <w:iCs/>
          <w:szCs w:val="22"/>
        </w:rPr>
        <w:t xml:space="preserve"> </w:t>
      </w:r>
      <w:r w:rsidRPr="00505E60">
        <w:rPr>
          <w:i/>
        </w:rPr>
        <w:t>Výsledkové indikátory pro strategické cíle</w:t>
      </w:r>
      <w:bookmarkEnd w:id="71"/>
    </w:p>
    <w:tbl>
      <w:tblPr>
        <w:tblW w:w="9227" w:type="dxa"/>
        <w:tblInd w:w="57" w:type="dxa"/>
        <w:tblCellMar>
          <w:left w:w="70" w:type="dxa"/>
          <w:right w:w="70" w:type="dxa"/>
        </w:tblCellMar>
        <w:tblLook w:val="04A0" w:firstRow="1" w:lastRow="0" w:firstColumn="1" w:lastColumn="0" w:noHBand="0" w:noVBand="1"/>
      </w:tblPr>
      <w:tblGrid>
        <w:gridCol w:w="2707"/>
        <w:gridCol w:w="3685"/>
        <w:gridCol w:w="1488"/>
        <w:gridCol w:w="1347"/>
      </w:tblGrid>
      <w:tr w:rsidR="00A33BBC" w:rsidRPr="007B154E" w14:paraId="21488BD3" w14:textId="77777777" w:rsidTr="00F10A9D">
        <w:trPr>
          <w:trHeight w:val="900"/>
        </w:trPr>
        <w:tc>
          <w:tcPr>
            <w:tcW w:w="2707" w:type="dxa"/>
            <w:tcBorders>
              <w:top w:val="single" w:sz="4" w:space="0" w:color="auto"/>
              <w:left w:val="single" w:sz="4" w:space="0" w:color="auto"/>
              <w:bottom w:val="single" w:sz="4" w:space="0" w:color="auto"/>
              <w:right w:val="single" w:sz="4" w:space="0" w:color="auto"/>
            </w:tcBorders>
            <w:shd w:val="clear" w:color="auto" w:fill="4F81BD"/>
            <w:vAlign w:val="center"/>
            <w:hideMark/>
          </w:tcPr>
          <w:p w14:paraId="394226A2" w14:textId="77777777" w:rsidR="00A33BBC" w:rsidRPr="00464C99" w:rsidRDefault="00A33BBC" w:rsidP="00F10A9D">
            <w:pPr>
              <w:spacing w:before="0" w:after="0" w:line="240" w:lineRule="auto"/>
              <w:jc w:val="center"/>
              <w:rPr>
                <w:rFonts w:eastAsia="Times New Roman" w:cs="Calibri"/>
                <w:b/>
                <w:bCs/>
                <w:color w:val="FFFFFF"/>
                <w:spacing w:val="0"/>
                <w:sz w:val="18"/>
                <w:szCs w:val="18"/>
                <w:lang w:eastAsia="cs-CZ" w:bidi="ar-SA"/>
              </w:rPr>
            </w:pPr>
            <w:r w:rsidRPr="00464C99">
              <w:rPr>
                <w:rFonts w:eastAsia="Times New Roman" w:cs="Calibri"/>
                <w:b/>
                <w:bCs/>
                <w:color w:val="FFFFFF"/>
                <w:spacing w:val="0"/>
                <w:sz w:val="18"/>
                <w:szCs w:val="18"/>
                <w:lang w:eastAsia="cs-CZ" w:bidi="ar-SA"/>
              </w:rPr>
              <w:t xml:space="preserve">Strategický cíl </w:t>
            </w:r>
            <w:r w:rsidR="00190EC3">
              <w:rPr>
                <w:rFonts w:eastAsia="Times New Roman" w:cs="Calibri"/>
                <w:b/>
                <w:bCs/>
                <w:color w:val="FFFFFF"/>
                <w:spacing w:val="0"/>
                <w:sz w:val="18"/>
                <w:szCs w:val="18"/>
                <w:lang w:eastAsia="cs-CZ" w:bidi="ar-SA"/>
              </w:rPr>
              <w:t>N</w:t>
            </w:r>
            <w:r w:rsidRPr="00464C99">
              <w:rPr>
                <w:rFonts w:eastAsia="Times New Roman" w:cs="Calibri"/>
                <w:b/>
                <w:bCs/>
                <w:color w:val="FFFFFF"/>
                <w:spacing w:val="0"/>
                <w:sz w:val="18"/>
                <w:szCs w:val="18"/>
                <w:lang w:eastAsia="cs-CZ" w:bidi="ar-SA"/>
              </w:rPr>
              <w:t>RIS3 strategie</w:t>
            </w:r>
          </w:p>
        </w:tc>
        <w:tc>
          <w:tcPr>
            <w:tcW w:w="3685" w:type="dxa"/>
            <w:tcBorders>
              <w:top w:val="single" w:sz="4" w:space="0" w:color="auto"/>
              <w:left w:val="nil"/>
              <w:bottom w:val="single" w:sz="4" w:space="0" w:color="auto"/>
              <w:right w:val="single" w:sz="4" w:space="0" w:color="auto"/>
            </w:tcBorders>
            <w:shd w:val="clear" w:color="auto" w:fill="4F81BD"/>
            <w:vAlign w:val="center"/>
            <w:hideMark/>
          </w:tcPr>
          <w:p w14:paraId="39D0E853" w14:textId="77777777" w:rsidR="00A33BBC" w:rsidRPr="00464C99" w:rsidRDefault="00A33BBC" w:rsidP="00F10A9D">
            <w:pPr>
              <w:spacing w:before="0" w:after="0" w:line="240" w:lineRule="auto"/>
              <w:jc w:val="center"/>
              <w:rPr>
                <w:rFonts w:eastAsia="Times New Roman" w:cs="Calibri"/>
                <w:b/>
                <w:bCs/>
                <w:color w:val="FFFFFF"/>
                <w:spacing w:val="0"/>
                <w:sz w:val="18"/>
                <w:szCs w:val="18"/>
                <w:lang w:eastAsia="cs-CZ" w:bidi="ar-SA"/>
              </w:rPr>
            </w:pPr>
            <w:r w:rsidRPr="00464C99">
              <w:rPr>
                <w:rFonts w:eastAsia="Times New Roman" w:cs="Calibri"/>
                <w:b/>
                <w:bCs/>
                <w:color w:val="FFFFFF"/>
                <w:spacing w:val="0"/>
                <w:sz w:val="18"/>
                <w:szCs w:val="18"/>
                <w:lang w:eastAsia="cs-CZ" w:bidi="ar-SA"/>
              </w:rPr>
              <w:t>Indikátor – Kód.Název</w:t>
            </w:r>
          </w:p>
        </w:tc>
        <w:tc>
          <w:tcPr>
            <w:tcW w:w="1488" w:type="dxa"/>
            <w:tcBorders>
              <w:top w:val="single" w:sz="4" w:space="0" w:color="auto"/>
              <w:left w:val="nil"/>
              <w:bottom w:val="single" w:sz="4" w:space="0" w:color="auto"/>
              <w:right w:val="single" w:sz="4" w:space="0" w:color="auto"/>
            </w:tcBorders>
            <w:shd w:val="clear" w:color="auto" w:fill="4F81BD"/>
            <w:vAlign w:val="center"/>
            <w:hideMark/>
          </w:tcPr>
          <w:p w14:paraId="1E6D78F8" w14:textId="77777777" w:rsidR="00A33BBC" w:rsidRPr="00464C99" w:rsidRDefault="00A33BBC" w:rsidP="00F10A9D">
            <w:pPr>
              <w:spacing w:before="0" w:after="0" w:line="240" w:lineRule="auto"/>
              <w:jc w:val="center"/>
              <w:rPr>
                <w:rFonts w:eastAsia="Times New Roman" w:cs="Calibri"/>
                <w:b/>
                <w:bCs/>
                <w:color w:val="FFFFFF"/>
                <w:spacing w:val="0"/>
                <w:sz w:val="18"/>
                <w:szCs w:val="18"/>
                <w:lang w:eastAsia="cs-CZ" w:bidi="ar-SA"/>
              </w:rPr>
            </w:pPr>
            <w:r w:rsidRPr="00464C99">
              <w:rPr>
                <w:rFonts w:eastAsia="Times New Roman" w:cs="Calibri"/>
                <w:b/>
                <w:bCs/>
                <w:color w:val="FFFFFF"/>
                <w:spacing w:val="0"/>
                <w:sz w:val="18"/>
                <w:szCs w:val="18"/>
                <w:lang w:eastAsia="cs-CZ" w:bidi="ar-SA"/>
              </w:rPr>
              <w:t>Indikátor - Měrná jednotka</w:t>
            </w:r>
          </w:p>
        </w:tc>
        <w:tc>
          <w:tcPr>
            <w:tcW w:w="1347" w:type="dxa"/>
            <w:tcBorders>
              <w:top w:val="single" w:sz="4" w:space="0" w:color="auto"/>
              <w:left w:val="nil"/>
              <w:bottom w:val="single" w:sz="4" w:space="0" w:color="auto"/>
              <w:right w:val="single" w:sz="4" w:space="0" w:color="auto"/>
            </w:tcBorders>
            <w:shd w:val="clear" w:color="auto" w:fill="4F81BD"/>
            <w:vAlign w:val="center"/>
            <w:hideMark/>
          </w:tcPr>
          <w:p w14:paraId="68C67A23" w14:textId="77777777" w:rsidR="00A33BBC" w:rsidRPr="00464C99" w:rsidRDefault="00A33BBC" w:rsidP="00F10A9D">
            <w:pPr>
              <w:spacing w:before="0" w:after="0" w:line="240" w:lineRule="auto"/>
              <w:jc w:val="center"/>
              <w:rPr>
                <w:rFonts w:eastAsia="Times New Roman" w:cs="Calibri"/>
                <w:b/>
                <w:bCs/>
                <w:color w:val="FFFFFF"/>
                <w:spacing w:val="0"/>
                <w:sz w:val="18"/>
                <w:szCs w:val="18"/>
                <w:lang w:eastAsia="cs-CZ" w:bidi="ar-SA"/>
              </w:rPr>
            </w:pPr>
            <w:r w:rsidRPr="00464C99">
              <w:rPr>
                <w:rFonts w:eastAsia="Times New Roman" w:cs="Calibri"/>
                <w:b/>
                <w:bCs/>
                <w:color w:val="FFFFFF"/>
                <w:spacing w:val="0"/>
                <w:sz w:val="18"/>
                <w:szCs w:val="18"/>
                <w:lang w:eastAsia="cs-CZ" w:bidi="ar-SA"/>
              </w:rPr>
              <w:t xml:space="preserve">Dosažená hodnota </w:t>
            </w:r>
            <w:r w:rsidRPr="00464C99">
              <w:rPr>
                <w:rFonts w:eastAsia="Times New Roman" w:cs="Calibri"/>
                <w:b/>
                <w:bCs/>
                <w:color w:val="FFFFFF"/>
                <w:spacing w:val="0"/>
                <w:sz w:val="18"/>
                <w:szCs w:val="18"/>
                <w:lang w:eastAsia="cs-CZ" w:bidi="ar-SA"/>
              </w:rPr>
              <w:br/>
              <w:t>k 31.12.2016</w:t>
            </w:r>
          </w:p>
        </w:tc>
      </w:tr>
      <w:tr w:rsidR="00A33BBC" w:rsidRPr="00BD34CF" w14:paraId="55D036B0" w14:textId="77777777" w:rsidTr="00F10A9D">
        <w:trPr>
          <w:trHeight w:val="397"/>
        </w:trPr>
        <w:tc>
          <w:tcPr>
            <w:tcW w:w="2707" w:type="dxa"/>
            <w:vMerge w:val="restart"/>
            <w:tcBorders>
              <w:top w:val="nil"/>
              <w:left w:val="single" w:sz="4" w:space="0" w:color="auto"/>
              <w:bottom w:val="single" w:sz="4" w:space="0" w:color="auto"/>
              <w:right w:val="single" w:sz="4" w:space="0" w:color="auto"/>
            </w:tcBorders>
            <w:shd w:val="clear" w:color="auto" w:fill="auto"/>
            <w:vAlign w:val="center"/>
            <w:hideMark/>
          </w:tcPr>
          <w:p w14:paraId="7728E1D6" w14:textId="77777777" w:rsidR="00A33BBC" w:rsidRPr="00BD34CF" w:rsidRDefault="00A33BBC" w:rsidP="00F10A9D">
            <w:pPr>
              <w:spacing w:before="0" w:after="0" w:line="240" w:lineRule="auto"/>
              <w:jc w:val="left"/>
              <w:rPr>
                <w:rFonts w:eastAsia="Times New Roman" w:cs="Calibri"/>
                <w:b/>
                <w:bCs/>
                <w:color w:val="000000"/>
                <w:spacing w:val="0"/>
                <w:sz w:val="18"/>
                <w:szCs w:val="18"/>
                <w:lang w:eastAsia="cs-CZ" w:bidi="ar-SA"/>
              </w:rPr>
            </w:pPr>
            <w:r w:rsidRPr="00BD34CF">
              <w:rPr>
                <w:rFonts w:eastAsia="Times New Roman" w:cs="Calibri"/>
                <w:b/>
                <w:bCs/>
                <w:color w:val="000000"/>
                <w:spacing w:val="0"/>
                <w:sz w:val="18"/>
                <w:szCs w:val="18"/>
                <w:lang w:eastAsia="cs-CZ" w:bidi="ar-SA"/>
              </w:rPr>
              <w:t xml:space="preserve">A.1: Zvýšit inovační poptávku ve firmách </w:t>
            </w:r>
            <w:r w:rsidRPr="00BD34CF">
              <w:rPr>
                <w:rFonts w:eastAsia="Times New Roman" w:cs="Calibri"/>
                <w:b/>
                <w:bCs/>
                <w:color w:val="000000"/>
                <w:spacing w:val="0"/>
                <w:sz w:val="18"/>
                <w:szCs w:val="18"/>
                <w:lang w:eastAsia="cs-CZ" w:bidi="ar-SA"/>
              </w:rPr>
              <w:br/>
              <w:t>(i ve veřejném sektoru)</w:t>
            </w:r>
          </w:p>
        </w:tc>
        <w:tc>
          <w:tcPr>
            <w:tcW w:w="3685" w:type="dxa"/>
            <w:tcBorders>
              <w:top w:val="nil"/>
              <w:left w:val="nil"/>
              <w:bottom w:val="single" w:sz="4" w:space="0" w:color="auto"/>
              <w:right w:val="single" w:sz="4" w:space="0" w:color="auto"/>
            </w:tcBorders>
            <w:shd w:val="clear" w:color="auto" w:fill="auto"/>
            <w:vAlign w:val="center"/>
            <w:hideMark/>
          </w:tcPr>
          <w:p w14:paraId="766CB3D1" w14:textId="77777777" w:rsidR="00A33BBC" w:rsidRPr="00BD34CF" w:rsidRDefault="00A33BBC" w:rsidP="00F10A9D">
            <w:pPr>
              <w:spacing w:before="0" w:after="0" w:line="240" w:lineRule="auto"/>
              <w:jc w:val="left"/>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21010.Podnikové výdaje na VaV v podnikatelském sektoru jako % HDP - regiony (mimo Prahu)</w:t>
            </w:r>
          </w:p>
        </w:tc>
        <w:tc>
          <w:tcPr>
            <w:tcW w:w="1488" w:type="dxa"/>
            <w:tcBorders>
              <w:top w:val="nil"/>
              <w:left w:val="nil"/>
              <w:bottom w:val="single" w:sz="4" w:space="0" w:color="auto"/>
              <w:right w:val="single" w:sz="4" w:space="0" w:color="auto"/>
            </w:tcBorders>
            <w:shd w:val="clear" w:color="auto" w:fill="auto"/>
            <w:vAlign w:val="center"/>
            <w:hideMark/>
          </w:tcPr>
          <w:p w14:paraId="433B5A7A" w14:textId="77777777" w:rsidR="00A33BBC" w:rsidRPr="00BD34CF" w:rsidRDefault="00A33BBC" w:rsidP="00F10A9D">
            <w:pPr>
              <w:spacing w:before="0" w:after="0" w:line="240" w:lineRule="auto"/>
              <w:jc w:val="center"/>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w:t>
            </w:r>
          </w:p>
        </w:tc>
        <w:tc>
          <w:tcPr>
            <w:tcW w:w="1347" w:type="dxa"/>
            <w:tcBorders>
              <w:top w:val="nil"/>
              <w:left w:val="nil"/>
              <w:bottom w:val="single" w:sz="4" w:space="0" w:color="auto"/>
              <w:right w:val="single" w:sz="4" w:space="0" w:color="auto"/>
            </w:tcBorders>
            <w:shd w:val="clear" w:color="auto" w:fill="auto"/>
            <w:vAlign w:val="center"/>
            <w:hideMark/>
          </w:tcPr>
          <w:p w14:paraId="570AD668" w14:textId="77777777" w:rsidR="00A33BBC" w:rsidRPr="00BD34CF" w:rsidRDefault="00A33BBC" w:rsidP="00F10A9D">
            <w:pPr>
              <w:spacing w:before="0" w:after="0" w:line="240" w:lineRule="auto"/>
              <w:jc w:val="center"/>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0,73</w:t>
            </w:r>
          </w:p>
        </w:tc>
      </w:tr>
      <w:tr w:rsidR="00A33BBC" w:rsidRPr="00BD34CF" w14:paraId="49FE94E2" w14:textId="77777777" w:rsidTr="00F10A9D">
        <w:trPr>
          <w:trHeight w:val="397"/>
        </w:trPr>
        <w:tc>
          <w:tcPr>
            <w:tcW w:w="2707" w:type="dxa"/>
            <w:vMerge/>
            <w:tcBorders>
              <w:top w:val="nil"/>
              <w:left w:val="single" w:sz="4" w:space="0" w:color="auto"/>
              <w:bottom w:val="single" w:sz="4" w:space="0" w:color="auto"/>
              <w:right w:val="single" w:sz="4" w:space="0" w:color="auto"/>
            </w:tcBorders>
            <w:shd w:val="clear" w:color="auto" w:fill="auto"/>
            <w:vAlign w:val="center"/>
            <w:hideMark/>
          </w:tcPr>
          <w:p w14:paraId="2FCECEC9" w14:textId="77777777" w:rsidR="00A33BBC" w:rsidRPr="00BD34CF" w:rsidRDefault="00A33BBC" w:rsidP="00F10A9D">
            <w:pPr>
              <w:spacing w:before="0" w:after="0" w:line="240" w:lineRule="auto"/>
              <w:jc w:val="left"/>
              <w:rPr>
                <w:rFonts w:eastAsia="Times New Roman" w:cs="Calibri"/>
                <w:b/>
                <w:bCs/>
                <w:color w:val="000000"/>
                <w:spacing w:val="0"/>
                <w:sz w:val="18"/>
                <w:szCs w:val="18"/>
                <w:lang w:eastAsia="cs-CZ" w:bidi="ar-SA"/>
              </w:rPr>
            </w:pPr>
          </w:p>
        </w:tc>
        <w:tc>
          <w:tcPr>
            <w:tcW w:w="3685" w:type="dxa"/>
            <w:tcBorders>
              <w:top w:val="nil"/>
              <w:left w:val="nil"/>
              <w:bottom w:val="single" w:sz="4" w:space="0" w:color="auto"/>
              <w:right w:val="single" w:sz="4" w:space="0" w:color="auto"/>
            </w:tcBorders>
            <w:shd w:val="clear" w:color="auto" w:fill="auto"/>
            <w:vAlign w:val="center"/>
            <w:hideMark/>
          </w:tcPr>
          <w:p w14:paraId="2BDFCE7C" w14:textId="77777777" w:rsidR="00A33BBC" w:rsidRPr="00BD34CF" w:rsidRDefault="00A33BBC" w:rsidP="00F10A9D">
            <w:pPr>
              <w:spacing w:before="0" w:after="0" w:line="240" w:lineRule="auto"/>
              <w:jc w:val="left"/>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21022.Podíl výdajů na VaV v podnikatelském sektoru financovaných z veřejných zdrojů (domácích i zahraničních) v % (hl. m. Praha)</w:t>
            </w:r>
          </w:p>
        </w:tc>
        <w:tc>
          <w:tcPr>
            <w:tcW w:w="1488" w:type="dxa"/>
            <w:tcBorders>
              <w:top w:val="nil"/>
              <w:left w:val="nil"/>
              <w:bottom w:val="single" w:sz="4" w:space="0" w:color="auto"/>
              <w:right w:val="single" w:sz="4" w:space="0" w:color="auto"/>
            </w:tcBorders>
            <w:shd w:val="clear" w:color="auto" w:fill="auto"/>
            <w:vAlign w:val="center"/>
            <w:hideMark/>
          </w:tcPr>
          <w:p w14:paraId="4401403E" w14:textId="77777777" w:rsidR="00A33BBC" w:rsidRPr="00BD34CF" w:rsidRDefault="00A33BBC" w:rsidP="00F10A9D">
            <w:pPr>
              <w:spacing w:before="0" w:after="0" w:line="240" w:lineRule="auto"/>
              <w:jc w:val="center"/>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w:t>
            </w:r>
          </w:p>
        </w:tc>
        <w:tc>
          <w:tcPr>
            <w:tcW w:w="1347" w:type="dxa"/>
            <w:tcBorders>
              <w:top w:val="nil"/>
              <w:left w:val="nil"/>
              <w:bottom w:val="single" w:sz="4" w:space="0" w:color="auto"/>
              <w:right w:val="single" w:sz="4" w:space="0" w:color="auto"/>
            </w:tcBorders>
            <w:shd w:val="clear" w:color="auto" w:fill="auto"/>
            <w:vAlign w:val="center"/>
            <w:hideMark/>
          </w:tcPr>
          <w:p w14:paraId="7F0A5227" w14:textId="77777777" w:rsidR="00A33BBC" w:rsidRPr="00BD34CF" w:rsidRDefault="00A33BBC" w:rsidP="00F10A9D">
            <w:pPr>
              <w:spacing w:before="0" w:after="0" w:line="240" w:lineRule="auto"/>
              <w:jc w:val="center"/>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7,84</w:t>
            </w:r>
          </w:p>
        </w:tc>
      </w:tr>
      <w:tr w:rsidR="00A33BBC" w:rsidRPr="00BD34CF" w14:paraId="77A1D729" w14:textId="77777777" w:rsidTr="00F10A9D">
        <w:trPr>
          <w:trHeight w:val="397"/>
        </w:trPr>
        <w:tc>
          <w:tcPr>
            <w:tcW w:w="2707" w:type="dxa"/>
            <w:vMerge/>
            <w:tcBorders>
              <w:top w:val="nil"/>
              <w:left w:val="single" w:sz="4" w:space="0" w:color="auto"/>
              <w:bottom w:val="single" w:sz="4" w:space="0" w:color="auto"/>
              <w:right w:val="single" w:sz="4" w:space="0" w:color="auto"/>
            </w:tcBorders>
            <w:shd w:val="clear" w:color="auto" w:fill="auto"/>
            <w:vAlign w:val="center"/>
            <w:hideMark/>
          </w:tcPr>
          <w:p w14:paraId="46A27F89" w14:textId="77777777" w:rsidR="00A33BBC" w:rsidRPr="00BD34CF" w:rsidRDefault="00A33BBC" w:rsidP="00F10A9D">
            <w:pPr>
              <w:spacing w:before="0" w:after="0" w:line="240" w:lineRule="auto"/>
              <w:jc w:val="left"/>
              <w:rPr>
                <w:rFonts w:eastAsia="Times New Roman" w:cs="Calibri"/>
                <w:b/>
                <w:bCs/>
                <w:color w:val="000000"/>
                <w:spacing w:val="0"/>
                <w:sz w:val="18"/>
                <w:szCs w:val="18"/>
                <w:lang w:eastAsia="cs-CZ" w:bidi="ar-SA"/>
              </w:rPr>
            </w:pPr>
          </w:p>
        </w:tc>
        <w:tc>
          <w:tcPr>
            <w:tcW w:w="3685" w:type="dxa"/>
            <w:tcBorders>
              <w:top w:val="nil"/>
              <w:left w:val="nil"/>
              <w:bottom w:val="single" w:sz="4" w:space="0" w:color="auto"/>
              <w:right w:val="single" w:sz="4" w:space="0" w:color="auto"/>
            </w:tcBorders>
            <w:shd w:val="clear" w:color="auto" w:fill="auto"/>
            <w:vAlign w:val="center"/>
            <w:hideMark/>
          </w:tcPr>
          <w:p w14:paraId="63039803" w14:textId="77777777" w:rsidR="00A33BBC" w:rsidRPr="00BD34CF" w:rsidRDefault="00A33BBC" w:rsidP="00F10A9D">
            <w:pPr>
              <w:spacing w:before="0" w:after="0" w:line="240" w:lineRule="auto"/>
              <w:jc w:val="left"/>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 xml:space="preserve">21020.Podnikové výdaje na VaV v podnikatelském sektoru jako % HDP - regiony ČR (hl. m. Praha) </w:t>
            </w:r>
          </w:p>
        </w:tc>
        <w:tc>
          <w:tcPr>
            <w:tcW w:w="1488" w:type="dxa"/>
            <w:tcBorders>
              <w:top w:val="nil"/>
              <w:left w:val="nil"/>
              <w:bottom w:val="single" w:sz="4" w:space="0" w:color="auto"/>
              <w:right w:val="single" w:sz="4" w:space="0" w:color="auto"/>
            </w:tcBorders>
            <w:shd w:val="clear" w:color="auto" w:fill="auto"/>
            <w:vAlign w:val="center"/>
            <w:hideMark/>
          </w:tcPr>
          <w:p w14:paraId="1BEBA4DA" w14:textId="77777777" w:rsidR="00A33BBC" w:rsidRPr="00BD34CF" w:rsidRDefault="00A33BBC" w:rsidP="00F10A9D">
            <w:pPr>
              <w:spacing w:before="0" w:after="0" w:line="240" w:lineRule="auto"/>
              <w:jc w:val="center"/>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w:t>
            </w:r>
          </w:p>
        </w:tc>
        <w:tc>
          <w:tcPr>
            <w:tcW w:w="1347" w:type="dxa"/>
            <w:tcBorders>
              <w:top w:val="nil"/>
              <w:left w:val="nil"/>
              <w:bottom w:val="single" w:sz="4" w:space="0" w:color="auto"/>
              <w:right w:val="single" w:sz="4" w:space="0" w:color="auto"/>
            </w:tcBorders>
            <w:shd w:val="clear" w:color="auto" w:fill="auto"/>
            <w:vAlign w:val="center"/>
            <w:hideMark/>
          </w:tcPr>
          <w:p w14:paraId="3A1FF90A" w14:textId="77777777" w:rsidR="00A33BBC" w:rsidRPr="00BD34CF" w:rsidRDefault="00A33BBC" w:rsidP="00F10A9D">
            <w:pPr>
              <w:spacing w:before="0" w:after="0" w:line="240" w:lineRule="auto"/>
              <w:jc w:val="center"/>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0,88</w:t>
            </w:r>
          </w:p>
        </w:tc>
      </w:tr>
      <w:tr w:rsidR="00A33BBC" w:rsidRPr="00BD34CF" w14:paraId="55F5E8A7" w14:textId="77777777" w:rsidTr="00F10A9D">
        <w:trPr>
          <w:trHeight w:val="397"/>
        </w:trPr>
        <w:tc>
          <w:tcPr>
            <w:tcW w:w="2707" w:type="dxa"/>
            <w:vMerge/>
            <w:tcBorders>
              <w:top w:val="nil"/>
              <w:left w:val="single" w:sz="4" w:space="0" w:color="auto"/>
              <w:bottom w:val="single" w:sz="4" w:space="0" w:color="auto"/>
              <w:right w:val="single" w:sz="4" w:space="0" w:color="auto"/>
            </w:tcBorders>
            <w:shd w:val="clear" w:color="auto" w:fill="auto"/>
            <w:vAlign w:val="center"/>
            <w:hideMark/>
          </w:tcPr>
          <w:p w14:paraId="16C83AA1" w14:textId="77777777" w:rsidR="00A33BBC" w:rsidRPr="00BD34CF" w:rsidRDefault="00A33BBC" w:rsidP="00F10A9D">
            <w:pPr>
              <w:spacing w:before="0" w:after="0" w:line="240" w:lineRule="auto"/>
              <w:jc w:val="left"/>
              <w:rPr>
                <w:rFonts w:eastAsia="Times New Roman" w:cs="Calibri"/>
                <w:b/>
                <w:bCs/>
                <w:color w:val="000000"/>
                <w:spacing w:val="0"/>
                <w:sz w:val="18"/>
                <w:szCs w:val="18"/>
                <w:lang w:eastAsia="cs-CZ" w:bidi="ar-SA"/>
              </w:rPr>
            </w:pPr>
          </w:p>
        </w:tc>
        <w:tc>
          <w:tcPr>
            <w:tcW w:w="3685" w:type="dxa"/>
            <w:tcBorders>
              <w:top w:val="nil"/>
              <w:left w:val="nil"/>
              <w:bottom w:val="single" w:sz="4" w:space="0" w:color="auto"/>
              <w:right w:val="single" w:sz="4" w:space="0" w:color="auto"/>
            </w:tcBorders>
            <w:shd w:val="clear" w:color="auto" w:fill="auto"/>
            <w:vAlign w:val="center"/>
            <w:hideMark/>
          </w:tcPr>
          <w:p w14:paraId="1A7DFA59" w14:textId="77777777" w:rsidR="00A33BBC" w:rsidRPr="00BD34CF" w:rsidRDefault="00A33BBC" w:rsidP="00F10A9D">
            <w:pPr>
              <w:spacing w:before="0" w:after="0" w:line="240" w:lineRule="auto"/>
              <w:jc w:val="left"/>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 xml:space="preserve">21411.Tržby z inovované produkce jako % celkových tržeb podniků </w:t>
            </w:r>
            <w:r w:rsidRPr="00BD34CF">
              <w:rPr>
                <w:rFonts w:eastAsia="Times New Roman" w:cs="Calibri"/>
                <w:color w:val="000000"/>
                <w:spacing w:val="0"/>
                <w:sz w:val="18"/>
                <w:szCs w:val="18"/>
                <w:lang w:eastAsia="cs-CZ" w:bidi="ar-SA"/>
              </w:rPr>
              <w:br/>
              <w:t>s produktovou inovací  - hl. m. Praha</w:t>
            </w:r>
          </w:p>
        </w:tc>
        <w:tc>
          <w:tcPr>
            <w:tcW w:w="1488" w:type="dxa"/>
            <w:tcBorders>
              <w:top w:val="nil"/>
              <w:left w:val="nil"/>
              <w:bottom w:val="single" w:sz="4" w:space="0" w:color="auto"/>
              <w:right w:val="single" w:sz="4" w:space="0" w:color="auto"/>
            </w:tcBorders>
            <w:shd w:val="clear" w:color="auto" w:fill="auto"/>
            <w:vAlign w:val="center"/>
            <w:hideMark/>
          </w:tcPr>
          <w:p w14:paraId="6DF9E339" w14:textId="77777777" w:rsidR="00A33BBC" w:rsidRPr="00BD34CF" w:rsidRDefault="00A33BBC" w:rsidP="00F10A9D">
            <w:pPr>
              <w:spacing w:before="0" w:after="0" w:line="240" w:lineRule="auto"/>
              <w:jc w:val="center"/>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w:t>
            </w:r>
          </w:p>
        </w:tc>
        <w:tc>
          <w:tcPr>
            <w:tcW w:w="1347" w:type="dxa"/>
            <w:tcBorders>
              <w:top w:val="nil"/>
              <w:left w:val="nil"/>
              <w:bottom w:val="single" w:sz="4" w:space="0" w:color="auto"/>
              <w:right w:val="single" w:sz="4" w:space="0" w:color="auto"/>
            </w:tcBorders>
            <w:shd w:val="clear" w:color="auto" w:fill="auto"/>
            <w:vAlign w:val="center"/>
            <w:hideMark/>
          </w:tcPr>
          <w:p w14:paraId="268EF912" w14:textId="77777777" w:rsidR="00A33BBC" w:rsidRPr="00BD34CF" w:rsidRDefault="00A33BBC" w:rsidP="00F10A9D">
            <w:pPr>
              <w:spacing w:before="0" w:after="0" w:line="240" w:lineRule="auto"/>
              <w:jc w:val="center"/>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24,9*</w:t>
            </w:r>
          </w:p>
        </w:tc>
      </w:tr>
      <w:tr w:rsidR="00A33BBC" w:rsidRPr="00BD34CF" w14:paraId="583A38AE" w14:textId="77777777" w:rsidTr="00F10A9D">
        <w:trPr>
          <w:trHeight w:val="397"/>
        </w:trPr>
        <w:tc>
          <w:tcPr>
            <w:tcW w:w="2707" w:type="dxa"/>
            <w:vMerge/>
            <w:tcBorders>
              <w:top w:val="nil"/>
              <w:left w:val="single" w:sz="4" w:space="0" w:color="auto"/>
              <w:bottom w:val="single" w:sz="4" w:space="0" w:color="auto"/>
              <w:right w:val="single" w:sz="4" w:space="0" w:color="auto"/>
            </w:tcBorders>
            <w:shd w:val="clear" w:color="auto" w:fill="auto"/>
            <w:vAlign w:val="center"/>
            <w:hideMark/>
          </w:tcPr>
          <w:p w14:paraId="55EB2296" w14:textId="77777777" w:rsidR="00A33BBC" w:rsidRPr="00BD34CF" w:rsidRDefault="00A33BBC" w:rsidP="00F10A9D">
            <w:pPr>
              <w:spacing w:before="0" w:after="0" w:line="240" w:lineRule="auto"/>
              <w:jc w:val="left"/>
              <w:rPr>
                <w:rFonts w:eastAsia="Times New Roman" w:cs="Calibri"/>
                <w:b/>
                <w:bCs/>
                <w:color w:val="000000"/>
                <w:spacing w:val="0"/>
                <w:sz w:val="18"/>
                <w:szCs w:val="18"/>
                <w:lang w:eastAsia="cs-CZ" w:bidi="ar-SA"/>
              </w:rPr>
            </w:pPr>
          </w:p>
        </w:tc>
        <w:tc>
          <w:tcPr>
            <w:tcW w:w="3685" w:type="dxa"/>
            <w:tcBorders>
              <w:top w:val="nil"/>
              <w:left w:val="nil"/>
              <w:bottom w:val="single" w:sz="4" w:space="0" w:color="auto"/>
              <w:right w:val="single" w:sz="4" w:space="0" w:color="auto"/>
            </w:tcBorders>
            <w:shd w:val="clear" w:color="auto" w:fill="auto"/>
            <w:vAlign w:val="center"/>
            <w:hideMark/>
          </w:tcPr>
          <w:p w14:paraId="389ABF1E" w14:textId="77777777" w:rsidR="00A33BBC" w:rsidRPr="00BD34CF" w:rsidRDefault="00A33BBC" w:rsidP="00F10A9D">
            <w:pPr>
              <w:spacing w:before="0" w:after="0" w:line="240" w:lineRule="auto"/>
              <w:jc w:val="left"/>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 xml:space="preserve">21411.Tržby z inovované produkce jako % celkových tržeb podniků </w:t>
            </w:r>
            <w:r w:rsidRPr="00BD34CF">
              <w:rPr>
                <w:rFonts w:eastAsia="Times New Roman" w:cs="Calibri"/>
                <w:color w:val="000000"/>
                <w:spacing w:val="0"/>
                <w:sz w:val="18"/>
                <w:szCs w:val="18"/>
                <w:lang w:eastAsia="cs-CZ" w:bidi="ar-SA"/>
              </w:rPr>
              <w:br/>
              <w:t xml:space="preserve">s produktovou inovací </w:t>
            </w:r>
          </w:p>
        </w:tc>
        <w:tc>
          <w:tcPr>
            <w:tcW w:w="1488" w:type="dxa"/>
            <w:tcBorders>
              <w:top w:val="nil"/>
              <w:left w:val="nil"/>
              <w:bottom w:val="single" w:sz="4" w:space="0" w:color="auto"/>
              <w:right w:val="single" w:sz="4" w:space="0" w:color="auto"/>
            </w:tcBorders>
            <w:shd w:val="clear" w:color="auto" w:fill="auto"/>
            <w:vAlign w:val="center"/>
            <w:hideMark/>
          </w:tcPr>
          <w:p w14:paraId="23A2A795" w14:textId="77777777" w:rsidR="00A33BBC" w:rsidRPr="00BD34CF" w:rsidRDefault="00A33BBC" w:rsidP="00F10A9D">
            <w:pPr>
              <w:spacing w:before="0" w:after="0" w:line="240" w:lineRule="auto"/>
              <w:jc w:val="center"/>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w:t>
            </w:r>
          </w:p>
        </w:tc>
        <w:tc>
          <w:tcPr>
            <w:tcW w:w="1347" w:type="dxa"/>
            <w:tcBorders>
              <w:top w:val="nil"/>
              <w:left w:val="nil"/>
              <w:bottom w:val="single" w:sz="4" w:space="0" w:color="auto"/>
              <w:right w:val="single" w:sz="4" w:space="0" w:color="auto"/>
            </w:tcBorders>
            <w:shd w:val="clear" w:color="auto" w:fill="auto"/>
            <w:vAlign w:val="center"/>
            <w:hideMark/>
          </w:tcPr>
          <w:p w14:paraId="3203D61F" w14:textId="77777777" w:rsidR="00A33BBC" w:rsidRPr="00BD34CF" w:rsidRDefault="00A33BBC" w:rsidP="00F10A9D">
            <w:pPr>
              <w:spacing w:before="0" w:after="0" w:line="240" w:lineRule="auto"/>
              <w:jc w:val="center"/>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30,6*</w:t>
            </w:r>
          </w:p>
        </w:tc>
      </w:tr>
      <w:tr w:rsidR="00A33BBC" w:rsidRPr="00BD34CF" w14:paraId="42403298" w14:textId="77777777" w:rsidTr="00F10A9D">
        <w:trPr>
          <w:trHeight w:val="397"/>
        </w:trPr>
        <w:tc>
          <w:tcPr>
            <w:tcW w:w="2707" w:type="dxa"/>
            <w:vMerge w:val="restart"/>
            <w:tcBorders>
              <w:top w:val="nil"/>
              <w:left w:val="single" w:sz="4" w:space="0" w:color="auto"/>
              <w:bottom w:val="single" w:sz="4" w:space="0" w:color="000000"/>
              <w:right w:val="single" w:sz="4" w:space="0" w:color="auto"/>
            </w:tcBorders>
            <w:shd w:val="clear" w:color="auto" w:fill="auto"/>
            <w:vAlign w:val="center"/>
            <w:hideMark/>
          </w:tcPr>
          <w:p w14:paraId="4C9D47BF" w14:textId="77777777" w:rsidR="00A33BBC" w:rsidRPr="00BD34CF" w:rsidRDefault="00A33BBC" w:rsidP="00F10A9D">
            <w:pPr>
              <w:spacing w:before="0" w:after="0" w:line="240" w:lineRule="auto"/>
              <w:jc w:val="left"/>
              <w:rPr>
                <w:rFonts w:eastAsia="Times New Roman" w:cs="Calibri"/>
                <w:b/>
                <w:bCs/>
                <w:color w:val="000000"/>
                <w:spacing w:val="0"/>
                <w:sz w:val="18"/>
                <w:szCs w:val="18"/>
                <w:lang w:eastAsia="cs-CZ" w:bidi="ar-SA"/>
              </w:rPr>
            </w:pPr>
            <w:r w:rsidRPr="00BD34CF">
              <w:rPr>
                <w:rFonts w:eastAsia="Times New Roman" w:cs="Calibri"/>
                <w:b/>
                <w:bCs/>
                <w:color w:val="000000"/>
                <w:spacing w:val="0"/>
                <w:sz w:val="18"/>
                <w:szCs w:val="18"/>
                <w:lang w:eastAsia="cs-CZ" w:bidi="ar-SA"/>
              </w:rPr>
              <w:t xml:space="preserve">B.1: Zlepšit kvalitu a problémovou orientaci výzkumu ve znalostních doménách relevantních pro inteligentní specializaci </w:t>
            </w:r>
          </w:p>
        </w:tc>
        <w:tc>
          <w:tcPr>
            <w:tcW w:w="3685" w:type="dxa"/>
            <w:tcBorders>
              <w:top w:val="nil"/>
              <w:left w:val="nil"/>
              <w:bottom w:val="nil"/>
              <w:right w:val="single" w:sz="4" w:space="0" w:color="auto"/>
            </w:tcBorders>
            <w:shd w:val="clear" w:color="auto" w:fill="auto"/>
            <w:vAlign w:val="center"/>
            <w:hideMark/>
          </w:tcPr>
          <w:p w14:paraId="48D650BD" w14:textId="77777777" w:rsidR="00A33BBC" w:rsidRPr="00BD34CF" w:rsidRDefault="00A33BBC" w:rsidP="00F10A9D">
            <w:pPr>
              <w:spacing w:before="0" w:after="0" w:line="240" w:lineRule="auto"/>
              <w:jc w:val="left"/>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22011.Mezinárodní patentové přihlášky (PCT) vytvořené podpořenými subjekty</w:t>
            </w:r>
          </w:p>
        </w:tc>
        <w:tc>
          <w:tcPr>
            <w:tcW w:w="1488" w:type="dxa"/>
            <w:tcBorders>
              <w:top w:val="nil"/>
              <w:left w:val="nil"/>
              <w:bottom w:val="nil"/>
              <w:right w:val="single" w:sz="4" w:space="0" w:color="auto"/>
            </w:tcBorders>
            <w:shd w:val="clear" w:color="auto" w:fill="auto"/>
            <w:vAlign w:val="center"/>
            <w:hideMark/>
          </w:tcPr>
          <w:p w14:paraId="60E44125" w14:textId="77777777" w:rsidR="00A33BBC" w:rsidRPr="00BD34CF" w:rsidRDefault="00A33BBC" w:rsidP="00F10A9D">
            <w:pPr>
              <w:spacing w:before="0" w:after="0" w:line="240" w:lineRule="auto"/>
              <w:jc w:val="center"/>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přihlášky</w:t>
            </w:r>
          </w:p>
        </w:tc>
        <w:tc>
          <w:tcPr>
            <w:tcW w:w="1347" w:type="dxa"/>
            <w:tcBorders>
              <w:top w:val="nil"/>
              <w:left w:val="nil"/>
              <w:bottom w:val="nil"/>
              <w:right w:val="single" w:sz="4" w:space="0" w:color="auto"/>
            </w:tcBorders>
            <w:shd w:val="clear" w:color="auto" w:fill="auto"/>
            <w:vAlign w:val="center"/>
            <w:hideMark/>
          </w:tcPr>
          <w:p w14:paraId="2FA40428" w14:textId="77777777" w:rsidR="00A33BBC" w:rsidRPr="00BD34CF" w:rsidRDefault="00A33BBC" w:rsidP="00F10A9D">
            <w:pPr>
              <w:spacing w:before="0" w:after="0" w:line="240" w:lineRule="auto"/>
              <w:jc w:val="center"/>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2582</w:t>
            </w:r>
          </w:p>
        </w:tc>
      </w:tr>
      <w:tr w:rsidR="00A33BBC" w:rsidRPr="00BD34CF" w14:paraId="29208524" w14:textId="77777777" w:rsidTr="00F10A9D">
        <w:trPr>
          <w:trHeight w:val="397"/>
        </w:trPr>
        <w:tc>
          <w:tcPr>
            <w:tcW w:w="2707" w:type="dxa"/>
            <w:vMerge/>
            <w:tcBorders>
              <w:top w:val="nil"/>
              <w:left w:val="single" w:sz="4" w:space="0" w:color="auto"/>
              <w:bottom w:val="single" w:sz="4" w:space="0" w:color="000000"/>
              <w:right w:val="single" w:sz="4" w:space="0" w:color="auto"/>
            </w:tcBorders>
            <w:shd w:val="clear" w:color="auto" w:fill="auto"/>
            <w:vAlign w:val="center"/>
            <w:hideMark/>
          </w:tcPr>
          <w:p w14:paraId="33E1D6AC" w14:textId="77777777" w:rsidR="00A33BBC" w:rsidRPr="00BD34CF" w:rsidRDefault="00A33BBC" w:rsidP="00F10A9D">
            <w:pPr>
              <w:spacing w:before="0" w:after="0" w:line="240" w:lineRule="auto"/>
              <w:jc w:val="left"/>
              <w:rPr>
                <w:rFonts w:eastAsia="Times New Roman" w:cs="Calibri"/>
                <w:b/>
                <w:bCs/>
                <w:color w:val="000000"/>
                <w:spacing w:val="0"/>
                <w:sz w:val="18"/>
                <w:szCs w:val="18"/>
                <w:lang w:eastAsia="cs-CZ" w:bidi="ar-SA"/>
              </w:rPr>
            </w:pPr>
          </w:p>
        </w:tc>
        <w:tc>
          <w:tcPr>
            <w:tcW w:w="3685" w:type="dxa"/>
            <w:tcBorders>
              <w:top w:val="single" w:sz="4" w:space="0" w:color="auto"/>
              <w:left w:val="nil"/>
              <w:bottom w:val="single" w:sz="4" w:space="0" w:color="auto"/>
              <w:right w:val="single" w:sz="4" w:space="0" w:color="auto"/>
            </w:tcBorders>
            <w:shd w:val="clear" w:color="auto" w:fill="auto"/>
            <w:vAlign w:val="center"/>
            <w:hideMark/>
          </w:tcPr>
          <w:p w14:paraId="79F55C13" w14:textId="77777777" w:rsidR="00A33BBC" w:rsidRPr="00BD34CF" w:rsidRDefault="00A33BBC" w:rsidP="00F10A9D">
            <w:pPr>
              <w:spacing w:before="0" w:after="0" w:line="240" w:lineRule="auto"/>
              <w:jc w:val="left"/>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20410.Podíl výzkumných pracovníků s cizím státním občanstvím</w:t>
            </w:r>
          </w:p>
        </w:tc>
        <w:tc>
          <w:tcPr>
            <w:tcW w:w="1488" w:type="dxa"/>
            <w:tcBorders>
              <w:top w:val="single" w:sz="4" w:space="0" w:color="auto"/>
              <w:left w:val="nil"/>
              <w:bottom w:val="single" w:sz="4" w:space="0" w:color="auto"/>
              <w:right w:val="single" w:sz="4" w:space="0" w:color="auto"/>
            </w:tcBorders>
            <w:shd w:val="clear" w:color="auto" w:fill="auto"/>
            <w:vAlign w:val="center"/>
            <w:hideMark/>
          </w:tcPr>
          <w:p w14:paraId="54DA2BB4" w14:textId="77777777" w:rsidR="00A33BBC" w:rsidRPr="00BD34CF" w:rsidRDefault="00A33BBC" w:rsidP="00F10A9D">
            <w:pPr>
              <w:spacing w:before="0" w:after="0" w:line="240" w:lineRule="auto"/>
              <w:jc w:val="center"/>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w:t>
            </w:r>
          </w:p>
        </w:tc>
        <w:tc>
          <w:tcPr>
            <w:tcW w:w="1347" w:type="dxa"/>
            <w:tcBorders>
              <w:top w:val="single" w:sz="4" w:space="0" w:color="auto"/>
              <w:left w:val="nil"/>
              <w:bottom w:val="single" w:sz="4" w:space="0" w:color="auto"/>
              <w:right w:val="single" w:sz="4" w:space="0" w:color="auto"/>
            </w:tcBorders>
            <w:shd w:val="clear" w:color="auto" w:fill="auto"/>
            <w:vAlign w:val="center"/>
            <w:hideMark/>
          </w:tcPr>
          <w:p w14:paraId="50CB7A52" w14:textId="77777777" w:rsidR="00A33BBC" w:rsidRPr="00BD34CF" w:rsidRDefault="00A33BBC" w:rsidP="00F10A9D">
            <w:pPr>
              <w:spacing w:before="0" w:after="0" w:line="240" w:lineRule="auto"/>
              <w:jc w:val="center"/>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8,4%**</w:t>
            </w:r>
          </w:p>
        </w:tc>
      </w:tr>
      <w:tr w:rsidR="00A33BBC" w:rsidRPr="00BD34CF" w14:paraId="25E930B1" w14:textId="77777777" w:rsidTr="00F10A9D">
        <w:trPr>
          <w:trHeight w:val="397"/>
        </w:trPr>
        <w:tc>
          <w:tcPr>
            <w:tcW w:w="2707" w:type="dxa"/>
            <w:vMerge w:val="restart"/>
            <w:tcBorders>
              <w:top w:val="nil"/>
              <w:left w:val="single" w:sz="4" w:space="0" w:color="auto"/>
              <w:bottom w:val="single" w:sz="4" w:space="0" w:color="000000"/>
              <w:right w:val="single" w:sz="4" w:space="0" w:color="auto"/>
            </w:tcBorders>
            <w:shd w:val="clear" w:color="auto" w:fill="auto"/>
            <w:vAlign w:val="center"/>
            <w:hideMark/>
          </w:tcPr>
          <w:p w14:paraId="5FA07863" w14:textId="77777777" w:rsidR="00A33BBC" w:rsidRPr="00BD34CF" w:rsidRDefault="00A33BBC" w:rsidP="00F10A9D">
            <w:pPr>
              <w:spacing w:before="0" w:after="0" w:line="240" w:lineRule="auto"/>
              <w:jc w:val="left"/>
              <w:rPr>
                <w:rFonts w:eastAsia="Times New Roman" w:cs="Calibri"/>
                <w:b/>
                <w:bCs/>
                <w:color w:val="000000"/>
                <w:spacing w:val="0"/>
                <w:sz w:val="18"/>
                <w:szCs w:val="18"/>
                <w:lang w:eastAsia="cs-CZ" w:bidi="ar-SA"/>
              </w:rPr>
            </w:pPr>
            <w:r w:rsidRPr="00BD34CF">
              <w:rPr>
                <w:rFonts w:eastAsia="Times New Roman" w:cs="Calibri"/>
                <w:b/>
                <w:bCs/>
                <w:color w:val="000000"/>
                <w:spacing w:val="0"/>
                <w:sz w:val="18"/>
                <w:szCs w:val="18"/>
                <w:lang w:eastAsia="cs-CZ" w:bidi="ar-SA"/>
              </w:rPr>
              <w:t>C.1: Zvýšit relevanci výzkumu</w:t>
            </w:r>
          </w:p>
        </w:tc>
        <w:tc>
          <w:tcPr>
            <w:tcW w:w="3685" w:type="dxa"/>
            <w:tcBorders>
              <w:top w:val="nil"/>
              <w:left w:val="nil"/>
              <w:bottom w:val="single" w:sz="4" w:space="0" w:color="auto"/>
              <w:right w:val="single" w:sz="4" w:space="0" w:color="auto"/>
            </w:tcBorders>
            <w:shd w:val="clear" w:color="auto" w:fill="auto"/>
            <w:vAlign w:val="center"/>
            <w:hideMark/>
          </w:tcPr>
          <w:p w14:paraId="2A3764A7" w14:textId="77777777" w:rsidR="00A33BBC" w:rsidRPr="00BD34CF" w:rsidRDefault="00A33BBC" w:rsidP="00F10A9D">
            <w:pPr>
              <w:spacing w:before="0" w:after="0" w:line="240" w:lineRule="auto"/>
              <w:jc w:val="left"/>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21021.Výdaje podnikatelského sektoru na provádění VaV ve vládním a vysokoškolském sektoru v hl. městě Praze jako % celkových výdajů na provádění VaV v těchto sektorech</w:t>
            </w:r>
          </w:p>
        </w:tc>
        <w:tc>
          <w:tcPr>
            <w:tcW w:w="1488" w:type="dxa"/>
            <w:tcBorders>
              <w:top w:val="nil"/>
              <w:left w:val="nil"/>
              <w:bottom w:val="single" w:sz="4" w:space="0" w:color="auto"/>
              <w:right w:val="single" w:sz="4" w:space="0" w:color="auto"/>
            </w:tcBorders>
            <w:shd w:val="clear" w:color="auto" w:fill="auto"/>
            <w:vAlign w:val="center"/>
            <w:hideMark/>
          </w:tcPr>
          <w:p w14:paraId="2A1D29B8" w14:textId="77777777" w:rsidR="00A33BBC" w:rsidRPr="00BD34CF" w:rsidRDefault="00A33BBC" w:rsidP="00F10A9D">
            <w:pPr>
              <w:spacing w:before="0" w:after="0" w:line="240" w:lineRule="auto"/>
              <w:jc w:val="center"/>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w:t>
            </w:r>
          </w:p>
        </w:tc>
        <w:tc>
          <w:tcPr>
            <w:tcW w:w="1347" w:type="dxa"/>
            <w:tcBorders>
              <w:top w:val="nil"/>
              <w:left w:val="nil"/>
              <w:bottom w:val="single" w:sz="4" w:space="0" w:color="auto"/>
              <w:right w:val="single" w:sz="4" w:space="0" w:color="auto"/>
            </w:tcBorders>
            <w:shd w:val="clear" w:color="auto" w:fill="auto"/>
            <w:vAlign w:val="center"/>
            <w:hideMark/>
          </w:tcPr>
          <w:p w14:paraId="3BD64386" w14:textId="77777777" w:rsidR="00A33BBC" w:rsidRPr="00BD34CF" w:rsidRDefault="00A33BBC" w:rsidP="00F10A9D">
            <w:pPr>
              <w:spacing w:before="0" w:after="0" w:line="240" w:lineRule="auto"/>
              <w:jc w:val="center"/>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12,80%</w:t>
            </w:r>
          </w:p>
        </w:tc>
      </w:tr>
      <w:tr w:rsidR="00A33BBC" w:rsidRPr="00BD34CF" w14:paraId="19FEBF09" w14:textId="77777777" w:rsidTr="00F10A9D">
        <w:trPr>
          <w:trHeight w:val="397"/>
        </w:trPr>
        <w:tc>
          <w:tcPr>
            <w:tcW w:w="2707" w:type="dxa"/>
            <w:vMerge/>
            <w:tcBorders>
              <w:top w:val="nil"/>
              <w:left w:val="single" w:sz="4" w:space="0" w:color="auto"/>
              <w:bottom w:val="single" w:sz="4" w:space="0" w:color="000000"/>
              <w:right w:val="single" w:sz="4" w:space="0" w:color="auto"/>
            </w:tcBorders>
            <w:shd w:val="clear" w:color="auto" w:fill="auto"/>
            <w:vAlign w:val="center"/>
            <w:hideMark/>
          </w:tcPr>
          <w:p w14:paraId="7DFDB4F0" w14:textId="77777777" w:rsidR="00A33BBC" w:rsidRPr="00BD34CF" w:rsidRDefault="00A33BBC" w:rsidP="00F10A9D">
            <w:pPr>
              <w:spacing w:before="0" w:after="0" w:line="240" w:lineRule="auto"/>
              <w:jc w:val="left"/>
              <w:rPr>
                <w:rFonts w:eastAsia="Times New Roman" w:cs="Calibri"/>
                <w:b/>
                <w:bCs/>
                <w:color w:val="000000"/>
                <w:spacing w:val="0"/>
                <w:sz w:val="18"/>
                <w:szCs w:val="18"/>
                <w:lang w:eastAsia="cs-CZ" w:bidi="ar-SA"/>
              </w:rPr>
            </w:pPr>
          </w:p>
        </w:tc>
        <w:tc>
          <w:tcPr>
            <w:tcW w:w="3685" w:type="dxa"/>
            <w:tcBorders>
              <w:top w:val="nil"/>
              <w:left w:val="nil"/>
              <w:bottom w:val="single" w:sz="4" w:space="0" w:color="auto"/>
              <w:right w:val="single" w:sz="4" w:space="0" w:color="auto"/>
            </w:tcBorders>
            <w:shd w:val="clear" w:color="auto" w:fill="auto"/>
            <w:vAlign w:val="center"/>
            <w:hideMark/>
          </w:tcPr>
          <w:p w14:paraId="091355B3" w14:textId="77777777" w:rsidR="00A33BBC" w:rsidRPr="00BD34CF" w:rsidRDefault="00A33BBC" w:rsidP="00F10A9D">
            <w:pPr>
              <w:spacing w:before="0" w:after="0" w:line="240" w:lineRule="auto"/>
              <w:jc w:val="left"/>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 xml:space="preserve">21011.Výdaje podnikatelského sektoru na provádění VaV ve vládním </w:t>
            </w:r>
            <w:r w:rsidRPr="00BD34CF">
              <w:rPr>
                <w:rFonts w:eastAsia="Times New Roman" w:cs="Calibri"/>
                <w:color w:val="000000"/>
                <w:spacing w:val="0"/>
                <w:sz w:val="18"/>
                <w:szCs w:val="18"/>
                <w:lang w:eastAsia="cs-CZ" w:bidi="ar-SA"/>
              </w:rPr>
              <w:br/>
              <w:t xml:space="preserve">a vysokoškolském sektoru jako % celkových výdajů na provádění VaV </w:t>
            </w:r>
            <w:r w:rsidRPr="00BD34CF">
              <w:rPr>
                <w:rFonts w:eastAsia="Times New Roman" w:cs="Calibri"/>
                <w:color w:val="000000"/>
                <w:spacing w:val="0"/>
                <w:sz w:val="18"/>
                <w:szCs w:val="18"/>
                <w:lang w:eastAsia="cs-CZ" w:bidi="ar-SA"/>
              </w:rPr>
              <w:br/>
              <w:t>v těchto sektorech</w:t>
            </w:r>
          </w:p>
        </w:tc>
        <w:tc>
          <w:tcPr>
            <w:tcW w:w="1488" w:type="dxa"/>
            <w:tcBorders>
              <w:top w:val="nil"/>
              <w:left w:val="nil"/>
              <w:bottom w:val="single" w:sz="4" w:space="0" w:color="auto"/>
              <w:right w:val="single" w:sz="4" w:space="0" w:color="auto"/>
            </w:tcBorders>
            <w:shd w:val="clear" w:color="auto" w:fill="auto"/>
            <w:vAlign w:val="center"/>
            <w:hideMark/>
          </w:tcPr>
          <w:p w14:paraId="45CB66E7" w14:textId="77777777" w:rsidR="00A33BBC" w:rsidRPr="00BD34CF" w:rsidRDefault="00A33BBC" w:rsidP="00F10A9D">
            <w:pPr>
              <w:spacing w:before="0" w:after="0" w:line="240" w:lineRule="auto"/>
              <w:jc w:val="center"/>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w:t>
            </w:r>
          </w:p>
        </w:tc>
        <w:tc>
          <w:tcPr>
            <w:tcW w:w="1347" w:type="dxa"/>
            <w:tcBorders>
              <w:top w:val="nil"/>
              <w:left w:val="nil"/>
              <w:bottom w:val="single" w:sz="4" w:space="0" w:color="auto"/>
              <w:right w:val="single" w:sz="4" w:space="0" w:color="auto"/>
            </w:tcBorders>
            <w:shd w:val="clear" w:color="auto" w:fill="auto"/>
            <w:vAlign w:val="center"/>
            <w:hideMark/>
          </w:tcPr>
          <w:p w14:paraId="27379292" w14:textId="77777777" w:rsidR="00A33BBC" w:rsidRPr="00BD34CF" w:rsidRDefault="00A33BBC" w:rsidP="00F10A9D">
            <w:pPr>
              <w:spacing w:before="0" w:after="0" w:line="240" w:lineRule="auto"/>
              <w:jc w:val="center"/>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9,17</w:t>
            </w:r>
          </w:p>
        </w:tc>
      </w:tr>
      <w:tr w:rsidR="00A33BBC" w:rsidRPr="00BD34CF" w14:paraId="6993129A" w14:textId="77777777" w:rsidTr="00F10A9D">
        <w:trPr>
          <w:trHeight w:val="397"/>
        </w:trPr>
        <w:tc>
          <w:tcPr>
            <w:tcW w:w="2707" w:type="dxa"/>
            <w:tcBorders>
              <w:top w:val="nil"/>
              <w:left w:val="single" w:sz="4" w:space="0" w:color="auto"/>
              <w:bottom w:val="single" w:sz="4" w:space="0" w:color="auto"/>
              <w:right w:val="single" w:sz="4" w:space="0" w:color="auto"/>
            </w:tcBorders>
            <w:shd w:val="clear" w:color="auto" w:fill="auto"/>
            <w:vAlign w:val="center"/>
            <w:hideMark/>
          </w:tcPr>
          <w:p w14:paraId="5CF3877F" w14:textId="77777777" w:rsidR="00A33BBC" w:rsidRPr="00BD34CF" w:rsidRDefault="00A33BBC" w:rsidP="00F10A9D">
            <w:pPr>
              <w:spacing w:before="0" w:after="0" w:line="240" w:lineRule="auto"/>
              <w:jc w:val="left"/>
              <w:rPr>
                <w:rFonts w:eastAsia="Times New Roman" w:cs="Calibri"/>
                <w:b/>
                <w:bCs/>
                <w:color w:val="000000"/>
                <w:spacing w:val="0"/>
                <w:sz w:val="18"/>
                <w:szCs w:val="18"/>
                <w:lang w:eastAsia="cs-CZ" w:bidi="ar-SA"/>
              </w:rPr>
            </w:pPr>
            <w:r w:rsidRPr="00BD34CF">
              <w:rPr>
                <w:rFonts w:eastAsia="Times New Roman" w:cs="Calibri"/>
                <w:b/>
                <w:bCs/>
                <w:color w:val="000000"/>
                <w:spacing w:val="0"/>
                <w:sz w:val="18"/>
                <w:szCs w:val="18"/>
                <w:lang w:eastAsia="cs-CZ" w:bidi="ar-SA"/>
              </w:rPr>
              <w:t>E.2: Rozvoj eBusinessu a ICT v podnikání</w:t>
            </w:r>
          </w:p>
        </w:tc>
        <w:tc>
          <w:tcPr>
            <w:tcW w:w="3685" w:type="dxa"/>
            <w:tcBorders>
              <w:top w:val="nil"/>
              <w:left w:val="nil"/>
              <w:bottom w:val="single" w:sz="4" w:space="0" w:color="auto"/>
              <w:right w:val="single" w:sz="4" w:space="0" w:color="auto"/>
            </w:tcBorders>
            <w:shd w:val="clear" w:color="auto" w:fill="auto"/>
            <w:vAlign w:val="center"/>
            <w:hideMark/>
          </w:tcPr>
          <w:p w14:paraId="05A1FB11" w14:textId="77777777" w:rsidR="00A33BBC" w:rsidRPr="00BD34CF" w:rsidRDefault="00A33BBC" w:rsidP="00F10A9D">
            <w:pPr>
              <w:spacing w:before="0" w:after="0" w:line="240" w:lineRule="auto"/>
              <w:jc w:val="left"/>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30002.Přidaná hodnota IT služeb jako podíl na HDP</w:t>
            </w:r>
          </w:p>
        </w:tc>
        <w:tc>
          <w:tcPr>
            <w:tcW w:w="1488" w:type="dxa"/>
            <w:tcBorders>
              <w:top w:val="nil"/>
              <w:left w:val="nil"/>
              <w:bottom w:val="single" w:sz="4" w:space="0" w:color="auto"/>
              <w:right w:val="single" w:sz="4" w:space="0" w:color="auto"/>
            </w:tcBorders>
            <w:shd w:val="clear" w:color="auto" w:fill="auto"/>
            <w:vAlign w:val="center"/>
            <w:hideMark/>
          </w:tcPr>
          <w:p w14:paraId="32296C2E" w14:textId="77777777" w:rsidR="00A33BBC" w:rsidRPr="00BD34CF" w:rsidRDefault="00A33BBC" w:rsidP="00F10A9D">
            <w:pPr>
              <w:spacing w:before="0" w:after="0" w:line="240" w:lineRule="auto"/>
              <w:jc w:val="center"/>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w:t>
            </w:r>
          </w:p>
        </w:tc>
        <w:tc>
          <w:tcPr>
            <w:tcW w:w="1347" w:type="dxa"/>
            <w:tcBorders>
              <w:top w:val="nil"/>
              <w:left w:val="nil"/>
              <w:bottom w:val="single" w:sz="4" w:space="0" w:color="auto"/>
              <w:right w:val="single" w:sz="4" w:space="0" w:color="auto"/>
            </w:tcBorders>
            <w:shd w:val="clear" w:color="auto" w:fill="auto"/>
            <w:vAlign w:val="center"/>
            <w:hideMark/>
          </w:tcPr>
          <w:p w14:paraId="7A27F29B" w14:textId="77777777" w:rsidR="00A33BBC" w:rsidRPr="00BD34CF" w:rsidRDefault="00A33BBC" w:rsidP="00F10A9D">
            <w:pPr>
              <w:spacing w:before="0" w:after="0" w:line="240" w:lineRule="auto"/>
              <w:jc w:val="center"/>
              <w:rPr>
                <w:rFonts w:eastAsia="Times New Roman" w:cs="Calibri"/>
                <w:color w:val="000000"/>
                <w:spacing w:val="0"/>
                <w:sz w:val="18"/>
                <w:szCs w:val="18"/>
                <w:lang w:eastAsia="cs-CZ" w:bidi="ar-SA"/>
              </w:rPr>
            </w:pPr>
            <w:r w:rsidRPr="00BD34CF">
              <w:rPr>
                <w:rFonts w:eastAsia="Times New Roman" w:cs="Calibri"/>
                <w:color w:val="000000"/>
                <w:spacing w:val="0"/>
                <w:sz w:val="18"/>
                <w:szCs w:val="18"/>
                <w:lang w:eastAsia="cs-CZ" w:bidi="ar-SA"/>
              </w:rPr>
              <w:t>2,26</w:t>
            </w:r>
          </w:p>
        </w:tc>
      </w:tr>
    </w:tbl>
    <w:p w14:paraId="4A3D862C" w14:textId="77777777" w:rsidR="00A33BBC" w:rsidRDefault="00A33BBC" w:rsidP="00A33BBC">
      <w:pPr>
        <w:spacing w:before="0" w:after="0" w:line="240" w:lineRule="auto"/>
      </w:pPr>
      <w:r w:rsidRPr="005C6DF2">
        <w:rPr>
          <w:sz w:val="18"/>
          <w:szCs w:val="18"/>
          <w:lang w:bidi="ar-SA"/>
        </w:rPr>
        <w:t xml:space="preserve">Zdroj: Národní RIS3 strategie </w:t>
      </w:r>
      <w:r>
        <w:rPr>
          <w:sz w:val="18"/>
          <w:szCs w:val="18"/>
          <w:lang w:bidi="ar-SA"/>
        </w:rPr>
        <w:t>(</w:t>
      </w:r>
      <w:r w:rsidRPr="005C6DF2">
        <w:rPr>
          <w:sz w:val="18"/>
          <w:szCs w:val="18"/>
          <w:lang w:bidi="ar-SA"/>
        </w:rPr>
        <w:t>2018)</w:t>
      </w:r>
      <w:r w:rsidRPr="0035634D">
        <w:rPr>
          <w:rFonts w:eastAsia="Times New Roman" w:cs="Calibri"/>
          <w:color w:val="000000"/>
          <w:spacing w:val="0"/>
          <w:sz w:val="18"/>
          <w:szCs w:val="18"/>
          <w:lang w:eastAsia="cs-CZ" w:bidi="ar-SA"/>
        </w:rPr>
        <w:t xml:space="preserve"> </w:t>
      </w:r>
      <w:r>
        <w:rPr>
          <w:rFonts w:eastAsia="Times New Roman" w:cs="Calibri"/>
          <w:color w:val="000000"/>
          <w:spacing w:val="0"/>
          <w:sz w:val="18"/>
          <w:szCs w:val="18"/>
          <w:lang w:eastAsia="cs-CZ" w:bidi="ar-SA"/>
        </w:rPr>
        <w:t xml:space="preserve">                                     </w:t>
      </w:r>
      <w:r w:rsidRPr="00BD34CF">
        <w:rPr>
          <w:rFonts w:eastAsia="Times New Roman" w:cs="Calibri"/>
          <w:color w:val="000000"/>
          <w:spacing w:val="0"/>
          <w:sz w:val="18"/>
          <w:szCs w:val="18"/>
          <w:lang w:eastAsia="cs-CZ" w:bidi="ar-SA"/>
        </w:rPr>
        <w:t>*    k 31.12.2014</w:t>
      </w:r>
      <w:r>
        <w:rPr>
          <w:rFonts w:eastAsia="Times New Roman" w:cs="Calibri"/>
          <w:color w:val="000000"/>
          <w:spacing w:val="0"/>
          <w:sz w:val="18"/>
          <w:szCs w:val="18"/>
          <w:lang w:eastAsia="cs-CZ" w:bidi="ar-SA"/>
        </w:rPr>
        <w:t xml:space="preserve">    </w:t>
      </w:r>
      <w:r w:rsidRPr="00BD34CF">
        <w:rPr>
          <w:rFonts w:eastAsia="Times New Roman" w:cs="Calibri"/>
          <w:color w:val="000000"/>
          <w:spacing w:val="0"/>
          <w:sz w:val="18"/>
          <w:szCs w:val="18"/>
          <w:lang w:eastAsia="cs-CZ" w:bidi="ar-SA"/>
        </w:rPr>
        <w:t>** k 31.12.2015</w:t>
      </w:r>
    </w:p>
    <w:p w14:paraId="355112DD" w14:textId="77777777" w:rsidR="00A33BBC" w:rsidRDefault="00A33BBC" w:rsidP="00A33BBC">
      <w:pPr>
        <w:spacing w:before="0" w:after="0" w:line="240" w:lineRule="auto"/>
        <w:jc w:val="left"/>
        <w:rPr>
          <w:rFonts w:asciiTheme="majorHAnsi" w:eastAsiaTheme="majorEastAsia" w:hAnsiTheme="majorHAnsi" w:cstheme="majorBidi"/>
          <w:bCs/>
          <w:color w:val="004B8D"/>
          <w:spacing w:val="0"/>
          <w:szCs w:val="26"/>
          <w:lang w:bidi="ar-SA"/>
        </w:rPr>
      </w:pPr>
    </w:p>
    <w:p w14:paraId="024D69B4" w14:textId="77777777" w:rsidR="00A33BBC" w:rsidRDefault="00A33BBC" w:rsidP="00A33BBC">
      <w:pPr>
        <w:spacing w:before="0" w:after="0" w:line="240" w:lineRule="auto"/>
        <w:jc w:val="left"/>
        <w:rPr>
          <w:rFonts w:asciiTheme="majorHAnsi" w:eastAsiaTheme="majorEastAsia" w:hAnsiTheme="majorHAnsi" w:cstheme="majorBidi"/>
          <w:b/>
          <w:bCs/>
          <w:color w:val="004B8D"/>
          <w:spacing w:val="0"/>
          <w:sz w:val="26"/>
          <w:szCs w:val="26"/>
          <w:lang w:bidi="ar-SA"/>
        </w:rPr>
      </w:pPr>
      <w:r>
        <w:rPr>
          <w:rFonts w:asciiTheme="majorHAnsi" w:eastAsiaTheme="majorEastAsia" w:hAnsiTheme="majorHAnsi" w:cstheme="majorBidi"/>
          <w:bCs/>
          <w:color w:val="004B8D"/>
          <w:spacing w:val="0"/>
          <w:szCs w:val="26"/>
          <w:lang w:bidi="ar-SA"/>
        </w:rPr>
        <w:br w:type="page"/>
      </w:r>
    </w:p>
    <w:p w14:paraId="6EDCC174" w14:textId="77777777" w:rsidR="00A33BBC" w:rsidRPr="00023C75" w:rsidRDefault="00605061" w:rsidP="00A33BBC">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bookmarkStart w:id="72" w:name="_Toc5626463"/>
      <w:r>
        <w:rPr>
          <w:rFonts w:asciiTheme="majorHAnsi" w:eastAsiaTheme="majorEastAsia" w:hAnsiTheme="majorHAnsi" w:cstheme="majorHAnsi"/>
          <w:i/>
          <w:caps/>
          <w:color w:val="004B8D"/>
          <w:spacing w:val="0"/>
          <w:sz w:val="22"/>
          <w:lang w:bidi="ar-SA"/>
        </w:rPr>
        <w:lastRenderedPageBreak/>
        <w:t xml:space="preserve">4.2.2 </w:t>
      </w:r>
      <w:r w:rsidR="00A33BBC">
        <w:rPr>
          <w:rFonts w:asciiTheme="majorHAnsi" w:eastAsiaTheme="majorEastAsia" w:hAnsiTheme="majorHAnsi" w:cstheme="majorHAnsi"/>
          <w:i/>
          <w:caps/>
          <w:color w:val="004B8D"/>
          <w:spacing w:val="0"/>
          <w:sz w:val="22"/>
          <w:lang w:bidi="ar-SA"/>
        </w:rPr>
        <w:t>INDIKÁTORY SPECIFICKÝCH CÍLŮ V OPERAČNÍCH PROGRAMECH</w:t>
      </w:r>
      <w:bookmarkEnd w:id="72"/>
    </w:p>
    <w:p w14:paraId="25F67FA6" w14:textId="77777777" w:rsidR="00A33BBC" w:rsidRDefault="00A33BBC" w:rsidP="00A33BBC">
      <w:pPr>
        <w:rPr>
          <w:b/>
          <w:u w:val="single"/>
          <w:lang w:bidi="ar-SA"/>
        </w:rPr>
      </w:pPr>
      <w:r w:rsidRPr="00916C7D">
        <w:rPr>
          <w:b/>
          <w:u w:val="single"/>
          <w:lang w:bidi="ar-SA"/>
        </w:rPr>
        <w:t>A</w:t>
      </w:r>
      <w:r w:rsidR="006954B1">
        <w:rPr>
          <w:b/>
          <w:u w:val="single"/>
          <w:lang w:bidi="ar-SA"/>
        </w:rPr>
        <w:t>.</w:t>
      </w:r>
      <w:r w:rsidRPr="00916C7D">
        <w:rPr>
          <w:b/>
          <w:u w:val="single"/>
          <w:lang w:bidi="ar-SA"/>
        </w:rPr>
        <w:t xml:space="preserve"> Vyšší inovační výkonnost firem</w:t>
      </w:r>
    </w:p>
    <w:p w14:paraId="7C8BBB1F" w14:textId="77777777" w:rsidR="00A33BBC" w:rsidRPr="00F860BD" w:rsidRDefault="00A33BBC" w:rsidP="00A33BBC">
      <w:pPr>
        <w:spacing w:after="0"/>
        <w:rPr>
          <w:lang w:bidi="ar-SA"/>
        </w:rPr>
      </w:pPr>
      <w:r>
        <w:rPr>
          <w:lang w:bidi="ar-SA"/>
        </w:rPr>
        <w:t>Indikátorová soustava klíčové oblasti změn zahrnuje pro jednotlivé úrovně tyto indikátory:</w:t>
      </w:r>
    </w:p>
    <w:p w14:paraId="1796A0D4" w14:textId="77777777" w:rsidR="00A33BBC" w:rsidRDefault="00A33BBC" w:rsidP="00D10F0D">
      <w:pPr>
        <w:pStyle w:val="Odstavecseseznamem"/>
        <w:numPr>
          <w:ilvl w:val="0"/>
          <w:numId w:val="18"/>
        </w:numPr>
        <w:rPr>
          <w:lang w:bidi="ar-SA"/>
        </w:rPr>
      </w:pPr>
      <w:r>
        <w:rPr>
          <w:lang w:bidi="ar-SA"/>
        </w:rPr>
        <w:t>strategické cíle (9 indikátorů výsledku NČI)</w:t>
      </w:r>
    </w:p>
    <w:p w14:paraId="08A4B591" w14:textId="77777777" w:rsidR="00A33BBC" w:rsidRDefault="00A33BBC" w:rsidP="00D10F0D">
      <w:pPr>
        <w:pStyle w:val="Odstavecseseznamem"/>
        <w:numPr>
          <w:ilvl w:val="0"/>
          <w:numId w:val="18"/>
        </w:numPr>
        <w:rPr>
          <w:lang w:bidi="ar-SA"/>
        </w:rPr>
      </w:pPr>
      <w:r>
        <w:rPr>
          <w:lang w:bidi="ar-SA"/>
        </w:rPr>
        <w:t>specifické cíle (21 indikátorů NČI plus 5 mimo NČI)</w:t>
      </w:r>
    </w:p>
    <w:p w14:paraId="31D63945" w14:textId="77777777" w:rsidR="00A33BBC" w:rsidRDefault="00A33BBC" w:rsidP="00A33BBC">
      <w:pPr>
        <w:spacing w:before="0" w:after="0" w:line="240" w:lineRule="auto"/>
        <w:jc w:val="left"/>
        <w:rPr>
          <w:rFonts w:eastAsia="Times New Roman" w:cs="Calibri"/>
          <w:color w:val="000000"/>
          <w:spacing w:val="0"/>
          <w:szCs w:val="22"/>
          <w:lang w:eastAsia="cs-CZ" w:bidi="ar-SA"/>
        </w:rPr>
      </w:pPr>
      <w:bookmarkStart w:id="73" w:name="_Toc5626497"/>
      <w:r w:rsidRPr="00570F07">
        <w:rPr>
          <w:b/>
          <w:szCs w:val="22"/>
        </w:rPr>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14</w:t>
      </w:r>
      <w:r w:rsidR="008A090D" w:rsidRPr="00570F07">
        <w:rPr>
          <w:b/>
          <w:szCs w:val="22"/>
        </w:rPr>
        <w:fldChar w:fldCharType="end"/>
      </w:r>
      <w:r w:rsidRPr="00570F07">
        <w:rPr>
          <w:b/>
          <w:szCs w:val="22"/>
        </w:rPr>
        <w:t xml:space="preserve"> </w:t>
      </w:r>
      <w:r>
        <w:rPr>
          <w:b/>
          <w:szCs w:val="22"/>
        </w:rPr>
        <w:t>–</w:t>
      </w:r>
      <w:r w:rsidRPr="00570F07">
        <w:rPr>
          <w:b/>
          <w:szCs w:val="22"/>
        </w:rPr>
        <w:t xml:space="preserve"> </w:t>
      </w:r>
      <w:r w:rsidRPr="00F860BD">
        <w:rPr>
          <w:rFonts w:eastAsia="Times New Roman" w:cs="Calibri"/>
          <w:color w:val="000000"/>
          <w:spacing w:val="0"/>
          <w:szCs w:val="22"/>
          <w:lang w:eastAsia="cs-CZ" w:bidi="ar-SA"/>
        </w:rPr>
        <w:t xml:space="preserve">Indikátory specifických cílů </w:t>
      </w:r>
      <w:r w:rsidR="00345662">
        <w:rPr>
          <w:rFonts w:eastAsia="Times New Roman" w:cs="Calibri"/>
          <w:color w:val="000000"/>
          <w:spacing w:val="0"/>
          <w:szCs w:val="22"/>
          <w:lang w:eastAsia="cs-CZ" w:bidi="ar-SA"/>
        </w:rPr>
        <w:t>klíčové oblasti změn</w:t>
      </w:r>
      <w:r w:rsidRPr="00F860BD">
        <w:rPr>
          <w:rFonts w:eastAsia="Times New Roman" w:cs="Calibri"/>
          <w:color w:val="000000"/>
          <w:spacing w:val="0"/>
          <w:szCs w:val="22"/>
          <w:lang w:eastAsia="cs-CZ" w:bidi="ar-SA"/>
        </w:rPr>
        <w:t xml:space="preserve"> A</w:t>
      </w:r>
      <w:r w:rsidR="00345662">
        <w:rPr>
          <w:rFonts w:eastAsia="Times New Roman" w:cs="Calibri"/>
          <w:color w:val="000000"/>
          <w:spacing w:val="0"/>
          <w:szCs w:val="22"/>
          <w:lang w:eastAsia="cs-CZ" w:bidi="ar-SA"/>
        </w:rPr>
        <w:t>.</w:t>
      </w:r>
      <w:r w:rsidRPr="00F860BD">
        <w:rPr>
          <w:rFonts w:eastAsia="Times New Roman" w:cs="Calibri"/>
          <w:color w:val="000000"/>
          <w:spacing w:val="0"/>
          <w:szCs w:val="22"/>
          <w:lang w:eastAsia="cs-CZ" w:bidi="ar-SA"/>
        </w:rPr>
        <w:t xml:space="preserve"> Vyšší inovační výkonnost firem</w:t>
      </w:r>
      <w:bookmarkEnd w:id="73"/>
    </w:p>
    <w:p w14:paraId="025FCB63" w14:textId="77777777" w:rsidR="00A33BBC" w:rsidRDefault="00A33BBC" w:rsidP="00A33BBC">
      <w:pPr>
        <w:spacing w:before="0" w:after="0" w:line="240" w:lineRule="auto"/>
        <w:jc w:val="left"/>
        <w:rPr>
          <w:rFonts w:eastAsia="Times New Roman" w:cs="Calibri"/>
          <w:color w:val="000000"/>
          <w:spacing w:val="0"/>
          <w:szCs w:val="22"/>
          <w:lang w:eastAsia="cs-CZ" w:bidi="ar-SA"/>
        </w:rPr>
      </w:pPr>
    </w:p>
    <w:tbl>
      <w:tblPr>
        <w:tblStyle w:val="Mkatabulky"/>
        <w:tblW w:w="92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16"/>
        <w:gridCol w:w="3381"/>
      </w:tblGrid>
      <w:tr w:rsidR="00A33BBC" w14:paraId="49B2A457" w14:textId="77777777" w:rsidTr="00F10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9" w:type="dxa"/>
          </w:tcPr>
          <w:p w14:paraId="300A34BC" w14:textId="77777777" w:rsidR="00A33BBC" w:rsidRDefault="00A33BBC" w:rsidP="00345662">
            <w:pPr>
              <w:spacing w:before="40" w:after="0" w:line="240" w:lineRule="auto"/>
              <w:jc w:val="left"/>
              <w:rPr>
                <w:rFonts w:eastAsia="Times New Roman" w:cs="Calibri"/>
                <w:b/>
                <w:color w:val="000000"/>
                <w:spacing w:val="0"/>
                <w:szCs w:val="22"/>
                <w:lang w:eastAsia="cs-CZ" w:bidi="ar-SA"/>
              </w:rPr>
            </w:pPr>
            <w:r w:rsidRPr="00F370A3">
              <w:rPr>
                <w:noProof/>
                <w:lang w:eastAsia="cs-CZ" w:bidi="ar-SA"/>
              </w:rPr>
              <w:drawing>
                <wp:inline distT="0" distB="0" distL="0" distR="0" wp14:anchorId="6411997A" wp14:editId="1239D489">
                  <wp:extent cx="3600000" cy="2857005"/>
                  <wp:effectExtent l="19050" t="0" r="45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srcRect/>
                          <a:stretch>
                            <a:fillRect/>
                          </a:stretch>
                        </pic:blipFill>
                        <pic:spPr bwMode="auto">
                          <a:xfrm>
                            <a:off x="0" y="0"/>
                            <a:ext cx="3600000" cy="2857005"/>
                          </a:xfrm>
                          <a:prstGeom prst="rect">
                            <a:avLst/>
                          </a:prstGeom>
                          <a:noFill/>
                          <a:ln w="9525">
                            <a:noFill/>
                            <a:miter lim="800000"/>
                            <a:headEnd/>
                            <a:tailEnd/>
                          </a:ln>
                        </pic:spPr>
                      </pic:pic>
                    </a:graphicData>
                  </a:graphic>
                </wp:inline>
              </w:drawing>
            </w:r>
          </w:p>
        </w:tc>
        <w:tc>
          <w:tcPr>
            <w:tcW w:w="3628" w:type="dxa"/>
            <w:vAlign w:val="top"/>
          </w:tcPr>
          <w:p w14:paraId="1295EABE" w14:textId="77777777" w:rsidR="00A33BBC" w:rsidRPr="00C06350" w:rsidRDefault="00A33BBC" w:rsidP="00F10A9D">
            <w:pPr>
              <w:jc w:val="left"/>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8"/>
                <w:szCs w:val="18"/>
                <w:lang w:bidi="ar-SA"/>
              </w:rPr>
            </w:pPr>
            <w:r w:rsidRPr="00C06350">
              <w:rPr>
                <w:rFonts w:asciiTheme="majorHAnsi" w:hAnsiTheme="majorHAnsi" w:cstheme="majorHAnsi"/>
                <w:sz w:val="18"/>
                <w:szCs w:val="18"/>
                <w:lang w:bidi="ar-SA"/>
              </w:rPr>
              <w:t>Z 21 indikátorů specifických cílů, uvedených v NRIS3 je v operačních programech monitorováno 12. Pět z nich již dosáhlo k 10/2018 cílových hodnot.</w:t>
            </w:r>
          </w:p>
          <w:p w14:paraId="1C5B285C" w14:textId="77777777" w:rsidR="00A33BBC" w:rsidRDefault="00A33BBC" w:rsidP="00F10A9D">
            <w:pPr>
              <w:jc w:val="lef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C06350">
              <w:rPr>
                <w:rFonts w:asciiTheme="majorHAnsi" w:hAnsiTheme="majorHAnsi" w:cstheme="majorHAnsi"/>
                <w:sz w:val="18"/>
                <w:szCs w:val="18"/>
                <w:lang w:bidi="ar-SA"/>
              </w:rPr>
              <w:t>Ze 12 sledovaných indikátorů ji</w:t>
            </w:r>
            <w:r>
              <w:rPr>
                <w:rFonts w:asciiTheme="majorHAnsi" w:hAnsiTheme="majorHAnsi" w:cstheme="majorHAnsi"/>
                <w:sz w:val="18"/>
                <w:szCs w:val="18"/>
                <w:lang w:bidi="ar-SA"/>
              </w:rPr>
              <w:t>ch</w:t>
            </w:r>
            <w:r w:rsidRPr="00C06350">
              <w:rPr>
                <w:rFonts w:asciiTheme="majorHAnsi" w:hAnsiTheme="majorHAnsi" w:cstheme="majorHAnsi"/>
                <w:sz w:val="18"/>
                <w:szCs w:val="18"/>
                <w:lang w:bidi="ar-SA"/>
              </w:rPr>
              <w:t xml:space="preserve"> má výsledkový charakter pouze 7, zbývajících</w:t>
            </w:r>
            <w:r w:rsidRPr="00C06350">
              <w:rPr>
                <w:rFonts w:asciiTheme="majorHAnsi" w:eastAsia="Times New Roman" w:hAnsiTheme="majorHAnsi" w:cstheme="majorHAnsi"/>
                <w:color w:val="000000"/>
                <w:spacing w:val="0"/>
                <w:sz w:val="18"/>
                <w:szCs w:val="18"/>
                <w:lang w:eastAsia="cs-CZ" w:bidi="ar-SA"/>
              </w:rPr>
              <w:t xml:space="preserve"> 5 odráží počet podpořených subjektů bez vazby na výsledek.</w:t>
            </w:r>
          </w:p>
          <w:p w14:paraId="702800C6" w14:textId="77777777" w:rsidR="00A33BBC" w:rsidRPr="00C06350" w:rsidRDefault="00A33BBC" w:rsidP="00345662">
            <w:pPr>
              <w:spacing w:after="0"/>
              <w:jc w:val="lef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Pr>
                <w:rFonts w:asciiTheme="majorHAnsi" w:eastAsia="Times New Roman" w:hAnsiTheme="majorHAnsi" w:cstheme="majorHAnsi"/>
                <w:color w:val="000000"/>
                <w:spacing w:val="0"/>
                <w:sz w:val="18"/>
                <w:szCs w:val="18"/>
                <w:lang w:eastAsia="cs-CZ" w:bidi="ar-SA"/>
              </w:rPr>
              <w:t>Vz</w:t>
            </w:r>
            <w:r w:rsidR="00345662">
              <w:rPr>
                <w:rFonts w:asciiTheme="majorHAnsi" w:eastAsia="Times New Roman" w:hAnsiTheme="majorHAnsi" w:cstheme="majorHAnsi"/>
                <w:color w:val="000000"/>
                <w:spacing w:val="0"/>
                <w:sz w:val="18"/>
                <w:szCs w:val="18"/>
                <w:lang w:eastAsia="cs-CZ" w:bidi="ar-SA"/>
              </w:rPr>
              <w:t>h</w:t>
            </w:r>
            <w:r>
              <w:rPr>
                <w:rFonts w:asciiTheme="majorHAnsi" w:eastAsia="Times New Roman" w:hAnsiTheme="majorHAnsi" w:cstheme="majorHAnsi"/>
                <w:color w:val="000000"/>
                <w:spacing w:val="0"/>
                <w:sz w:val="18"/>
                <w:szCs w:val="18"/>
                <w:lang w:eastAsia="cs-CZ" w:bidi="ar-SA"/>
              </w:rPr>
              <w:t>ledem k tomu, že převážná část indikátorů již překročila 50 % cílové hodnoty a dosud vyčerpáno na tuto klíčovou oblast změn je cca 40 % prostřed</w:t>
            </w:r>
            <w:r w:rsidR="00345662">
              <w:rPr>
                <w:rFonts w:asciiTheme="majorHAnsi" w:eastAsia="Times New Roman" w:hAnsiTheme="majorHAnsi" w:cstheme="majorHAnsi"/>
                <w:color w:val="000000"/>
                <w:spacing w:val="0"/>
                <w:sz w:val="18"/>
                <w:szCs w:val="18"/>
                <w:lang w:eastAsia="cs-CZ" w:bidi="ar-SA"/>
              </w:rPr>
              <w:t>k</w:t>
            </w:r>
            <w:r>
              <w:rPr>
                <w:rFonts w:asciiTheme="majorHAnsi" w:eastAsia="Times New Roman" w:hAnsiTheme="majorHAnsi" w:cstheme="majorHAnsi"/>
                <w:color w:val="000000"/>
                <w:spacing w:val="0"/>
                <w:sz w:val="18"/>
                <w:szCs w:val="18"/>
                <w:lang w:eastAsia="cs-CZ" w:bidi="ar-SA"/>
              </w:rPr>
              <w:t>ů lze předpokládat, že pokud budou finanční prostředky dočerpány, bude dosaženo i cílových hodnot sledovaných indikátorů.</w:t>
            </w:r>
          </w:p>
        </w:tc>
      </w:tr>
    </w:tbl>
    <w:p w14:paraId="6557738C" w14:textId="77777777" w:rsidR="00A33BBC" w:rsidRPr="001B560C" w:rsidRDefault="00A33BBC" w:rsidP="00A33BBC">
      <w:pPr>
        <w:spacing w:before="0" w:after="0" w:line="240" w:lineRule="auto"/>
        <w:jc w:val="left"/>
        <w:rPr>
          <w:sz w:val="18"/>
          <w:szCs w:val="18"/>
          <w:lang w:bidi="ar-SA"/>
        </w:rPr>
      </w:pPr>
      <w:r w:rsidRPr="001B560C">
        <w:rPr>
          <w:sz w:val="18"/>
          <w:szCs w:val="18"/>
          <w:lang w:bidi="ar-SA"/>
        </w:rPr>
        <w:t xml:space="preserve">Zdroj: </w:t>
      </w:r>
      <w:r>
        <w:rPr>
          <w:sz w:val="18"/>
          <w:szCs w:val="18"/>
          <w:lang w:bidi="ar-SA"/>
        </w:rPr>
        <w:t>monitoring MPO, vlastní zpracování</w:t>
      </w:r>
    </w:p>
    <w:p w14:paraId="66F8A8CF" w14:textId="77777777" w:rsidR="00A33BBC" w:rsidRDefault="00A33BBC" w:rsidP="00A33BBC">
      <w:pPr>
        <w:rPr>
          <w:b/>
          <w:u w:val="single"/>
          <w:lang w:bidi="ar-SA"/>
        </w:rPr>
      </w:pPr>
      <w:r w:rsidRPr="00916C7D">
        <w:rPr>
          <w:b/>
          <w:u w:val="single"/>
          <w:lang w:bidi="ar-SA"/>
        </w:rPr>
        <w:t>B</w:t>
      </w:r>
      <w:r w:rsidR="00345662">
        <w:rPr>
          <w:b/>
          <w:u w:val="single"/>
          <w:lang w:bidi="ar-SA"/>
        </w:rPr>
        <w:t>.</w:t>
      </w:r>
      <w:r w:rsidRPr="00916C7D">
        <w:rPr>
          <w:b/>
          <w:u w:val="single"/>
          <w:lang w:bidi="ar-SA"/>
        </w:rPr>
        <w:t xml:space="preserve"> Zvýšení kvality výzkumu</w:t>
      </w:r>
    </w:p>
    <w:p w14:paraId="6C70FD11" w14:textId="77777777" w:rsidR="00A33BBC" w:rsidRPr="00F860BD" w:rsidRDefault="00A33BBC" w:rsidP="00A33BBC">
      <w:pPr>
        <w:spacing w:after="0"/>
        <w:contextualSpacing/>
        <w:rPr>
          <w:lang w:bidi="ar-SA"/>
        </w:rPr>
      </w:pPr>
      <w:r>
        <w:rPr>
          <w:lang w:bidi="ar-SA"/>
        </w:rPr>
        <w:t>Indikátorová soustava klíčové oblasti změn zahrnuje pro jednotlivé úrovně tyto indikátory:</w:t>
      </w:r>
    </w:p>
    <w:p w14:paraId="45A95648" w14:textId="77777777" w:rsidR="00A33BBC" w:rsidRDefault="00A33BBC" w:rsidP="00D10F0D">
      <w:pPr>
        <w:pStyle w:val="Odstavecseseznamem"/>
        <w:numPr>
          <w:ilvl w:val="0"/>
          <w:numId w:val="18"/>
        </w:numPr>
        <w:rPr>
          <w:lang w:bidi="ar-SA"/>
        </w:rPr>
      </w:pPr>
      <w:r>
        <w:rPr>
          <w:lang w:bidi="ar-SA"/>
        </w:rPr>
        <w:t>strategické cíle (4 indikátory NČI)</w:t>
      </w:r>
    </w:p>
    <w:p w14:paraId="0C5FF195" w14:textId="77777777" w:rsidR="00A33BBC" w:rsidRDefault="00A33BBC" w:rsidP="00D10F0D">
      <w:pPr>
        <w:pStyle w:val="Odstavecseseznamem"/>
        <w:numPr>
          <w:ilvl w:val="0"/>
          <w:numId w:val="18"/>
        </w:numPr>
        <w:rPr>
          <w:lang w:bidi="ar-SA"/>
        </w:rPr>
      </w:pPr>
      <w:r>
        <w:rPr>
          <w:lang w:bidi="ar-SA"/>
        </w:rPr>
        <w:t>specifické cíle (14 indikátorů NČI)</w:t>
      </w:r>
    </w:p>
    <w:p w14:paraId="57C3AA68" w14:textId="77777777" w:rsidR="00A33BBC" w:rsidRDefault="00A33BBC" w:rsidP="00A33BBC">
      <w:pPr>
        <w:spacing w:before="0" w:after="0" w:line="240" w:lineRule="auto"/>
        <w:rPr>
          <w:rFonts w:eastAsia="Times New Roman" w:cs="Calibri"/>
          <w:color w:val="000000"/>
          <w:spacing w:val="0"/>
          <w:szCs w:val="22"/>
          <w:lang w:eastAsia="cs-CZ" w:bidi="ar-SA"/>
        </w:rPr>
      </w:pPr>
      <w:bookmarkStart w:id="74" w:name="_Toc5626498"/>
      <w:r w:rsidRPr="00570F07">
        <w:rPr>
          <w:b/>
          <w:szCs w:val="22"/>
        </w:rPr>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15</w:t>
      </w:r>
      <w:r w:rsidR="008A090D" w:rsidRPr="00570F07">
        <w:rPr>
          <w:b/>
          <w:szCs w:val="22"/>
        </w:rPr>
        <w:fldChar w:fldCharType="end"/>
      </w:r>
      <w:r w:rsidRPr="00570F07">
        <w:rPr>
          <w:b/>
          <w:szCs w:val="22"/>
        </w:rPr>
        <w:t xml:space="preserve"> </w:t>
      </w:r>
      <w:r>
        <w:rPr>
          <w:b/>
          <w:szCs w:val="22"/>
        </w:rPr>
        <w:t>–</w:t>
      </w:r>
      <w:r w:rsidRPr="00570F07">
        <w:rPr>
          <w:b/>
          <w:szCs w:val="22"/>
        </w:rPr>
        <w:t xml:space="preserve"> </w:t>
      </w:r>
      <w:r w:rsidRPr="00F860BD">
        <w:rPr>
          <w:rFonts w:eastAsia="Times New Roman" w:cs="Calibri"/>
          <w:color w:val="000000"/>
          <w:spacing w:val="0"/>
          <w:szCs w:val="22"/>
          <w:lang w:eastAsia="cs-CZ" w:bidi="ar-SA"/>
        </w:rPr>
        <w:t xml:space="preserve">Indikátory specifických cílů </w:t>
      </w:r>
      <w:r w:rsidR="00345662">
        <w:rPr>
          <w:rFonts w:eastAsia="Times New Roman" w:cs="Calibri"/>
          <w:color w:val="000000"/>
          <w:spacing w:val="0"/>
          <w:szCs w:val="22"/>
          <w:lang w:eastAsia="cs-CZ" w:bidi="ar-SA"/>
        </w:rPr>
        <w:t>klíčové oblasti změn</w:t>
      </w:r>
      <w:r w:rsidRPr="00F860BD">
        <w:rPr>
          <w:rFonts w:eastAsia="Times New Roman" w:cs="Calibri"/>
          <w:color w:val="000000"/>
          <w:spacing w:val="0"/>
          <w:szCs w:val="22"/>
          <w:lang w:eastAsia="cs-CZ" w:bidi="ar-SA"/>
        </w:rPr>
        <w:t xml:space="preserve"> </w:t>
      </w:r>
      <w:r w:rsidRPr="000352DF">
        <w:rPr>
          <w:rFonts w:eastAsia="Times New Roman" w:cs="Calibri"/>
          <w:color w:val="000000"/>
          <w:spacing w:val="0"/>
          <w:szCs w:val="22"/>
          <w:lang w:eastAsia="cs-CZ" w:bidi="ar-SA"/>
        </w:rPr>
        <w:t>B</w:t>
      </w:r>
      <w:r w:rsidR="00345662">
        <w:rPr>
          <w:rFonts w:eastAsia="Times New Roman" w:cs="Calibri"/>
          <w:color w:val="000000"/>
          <w:spacing w:val="0"/>
          <w:szCs w:val="22"/>
          <w:lang w:eastAsia="cs-CZ" w:bidi="ar-SA"/>
        </w:rPr>
        <w:t>.</w:t>
      </w:r>
      <w:r w:rsidRPr="000352DF">
        <w:rPr>
          <w:rFonts w:eastAsia="Times New Roman" w:cs="Calibri"/>
          <w:color w:val="000000"/>
          <w:spacing w:val="0"/>
          <w:szCs w:val="22"/>
          <w:lang w:eastAsia="cs-CZ" w:bidi="ar-SA"/>
        </w:rPr>
        <w:t xml:space="preserve"> Zvýšení kvality výzkumu</w:t>
      </w:r>
      <w:bookmarkEnd w:id="74"/>
    </w:p>
    <w:p w14:paraId="086D4A5A" w14:textId="77777777" w:rsidR="00A33BBC" w:rsidRDefault="00A33BBC" w:rsidP="00A33BBC">
      <w:pPr>
        <w:spacing w:before="0" w:after="0" w:line="240" w:lineRule="auto"/>
        <w:rPr>
          <w:lang w:bidi="ar-SA"/>
        </w:rPr>
      </w:pPr>
    </w:p>
    <w:tbl>
      <w:tblPr>
        <w:tblStyle w:val="Mkatabulky"/>
        <w:tblW w:w="92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16"/>
        <w:gridCol w:w="3381"/>
      </w:tblGrid>
      <w:tr w:rsidR="00A33BBC" w:rsidRPr="00C06350" w14:paraId="67266A46" w14:textId="77777777" w:rsidTr="00F10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9" w:type="dxa"/>
          </w:tcPr>
          <w:p w14:paraId="63CA07C1" w14:textId="77777777" w:rsidR="00A33BBC" w:rsidRDefault="00A33BBC" w:rsidP="00A12234">
            <w:pPr>
              <w:spacing w:before="40" w:after="0" w:line="240" w:lineRule="auto"/>
              <w:jc w:val="left"/>
              <w:rPr>
                <w:rFonts w:eastAsia="Times New Roman" w:cs="Calibri"/>
                <w:b/>
                <w:color w:val="000000"/>
                <w:spacing w:val="0"/>
                <w:szCs w:val="22"/>
                <w:lang w:eastAsia="cs-CZ" w:bidi="ar-SA"/>
              </w:rPr>
            </w:pPr>
            <w:r w:rsidRPr="00F370A3">
              <w:rPr>
                <w:noProof/>
                <w:lang w:eastAsia="cs-CZ" w:bidi="ar-SA"/>
              </w:rPr>
              <w:drawing>
                <wp:inline distT="0" distB="0" distL="0" distR="0" wp14:anchorId="4F9B3EDF" wp14:editId="11C7C635">
                  <wp:extent cx="3600000" cy="1477522"/>
                  <wp:effectExtent l="19050" t="0" r="450" b="0"/>
                  <wp:docPr id="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srcRect/>
                          <a:stretch>
                            <a:fillRect/>
                          </a:stretch>
                        </pic:blipFill>
                        <pic:spPr bwMode="auto">
                          <a:xfrm>
                            <a:off x="0" y="0"/>
                            <a:ext cx="3600000" cy="1477522"/>
                          </a:xfrm>
                          <a:prstGeom prst="rect">
                            <a:avLst/>
                          </a:prstGeom>
                          <a:noFill/>
                          <a:ln w="9525">
                            <a:noFill/>
                            <a:miter lim="800000"/>
                            <a:headEnd/>
                            <a:tailEnd/>
                          </a:ln>
                        </pic:spPr>
                      </pic:pic>
                    </a:graphicData>
                  </a:graphic>
                </wp:inline>
              </w:drawing>
            </w:r>
          </w:p>
        </w:tc>
        <w:tc>
          <w:tcPr>
            <w:tcW w:w="3628" w:type="dxa"/>
            <w:vAlign w:val="top"/>
          </w:tcPr>
          <w:p w14:paraId="589865A2" w14:textId="77777777" w:rsidR="00A33BBC" w:rsidRDefault="00A33BBC" w:rsidP="00F10A9D">
            <w:pPr>
              <w:jc w:val="left"/>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8"/>
                <w:szCs w:val="18"/>
                <w:lang w:bidi="ar-SA"/>
              </w:rPr>
            </w:pPr>
            <w:r w:rsidRPr="00C06350">
              <w:rPr>
                <w:rFonts w:asciiTheme="majorHAnsi" w:hAnsiTheme="majorHAnsi" w:cstheme="majorHAnsi"/>
                <w:sz w:val="18"/>
                <w:szCs w:val="18"/>
                <w:lang w:bidi="ar-SA"/>
              </w:rPr>
              <w:t>Z</w:t>
            </w:r>
            <w:r>
              <w:rPr>
                <w:rFonts w:asciiTheme="majorHAnsi" w:hAnsiTheme="majorHAnsi" w:cstheme="majorHAnsi"/>
                <w:sz w:val="18"/>
                <w:szCs w:val="18"/>
                <w:lang w:bidi="ar-SA"/>
              </w:rPr>
              <w:t>e</w:t>
            </w:r>
            <w:r w:rsidRPr="00C06350">
              <w:rPr>
                <w:rFonts w:asciiTheme="majorHAnsi" w:hAnsiTheme="majorHAnsi" w:cstheme="majorHAnsi"/>
                <w:sz w:val="18"/>
                <w:szCs w:val="18"/>
                <w:lang w:bidi="ar-SA"/>
              </w:rPr>
              <w:t> </w:t>
            </w:r>
            <w:r>
              <w:rPr>
                <w:rFonts w:asciiTheme="majorHAnsi" w:hAnsiTheme="majorHAnsi" w:cstheme="majorHAnsi"/>
                <w:sz w:val="18"/>
                <w:szCs w:val="18"/>
                <w:lang w:bidi="ar-SA"/>
              </w:rPr>
              <w:t>14</w:t>
            </w:r>
            <w:r w:rsidRPr="00C06350">
              <w:rPr>
                <w:rFonts w:asciiTheme="majorHAnsi" w:hAnsiTheme="majorHAnsi" w:cstheme="majorHAnsi"/>
                <w:sz w:val="18"/>
                <w:szCs w:val="18"/>
                <w:lang w:bidi="ar-SA"/>
              </w:rPr>
              <w:t xml:space="preserve"> indikátorů specifických cílů, uvedených v NRIS3 je v operačních programech monitorováno </w:t>
            </w:r>
            <w:r>
              <w:rPr>
                <w:rFonts w:asciiTheme="majorHAnsi" w:hAnsiTheme="majorHAnsi" w:cstheme="majorHAnsi"/>
                <w:sz w:val="18"/>
                <w:szCs w:val="18"/>
                <w:lang w:bidi="ar-SA"/>
              </w:rPr>
              <w:t>5 z nich</w:t>
            </w:r>
            <w:r w:rsidRPr="00C06350">
              <w:rPr>
                <w:rFonts w:asciiTheme="majorHAnsi" w:hAnsiTheme="majorHAnsi" w:cstheme="majorHAnsi"/>
                <w:sz w:val="18"/>
                <w:szCs w:val="18"/>
                <w:lang w:bidi="ar-SA"/>
              </w:rPr>
              <w:t xml:space="preserve">. </w:t>
            </w:r>
          </w:p>
          <w:p w14:paraId="697FCE9E" w14:textId="77777777" w:rsidR="00A33BBC" w:rsidRPr="00C06350" w:rsidRDefault="00A33BBC" w:rsidP="00F10A9D">
            <w:pPr>
              <w:jc w:val="lef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Pr>
                <w:rFonts w:asciiTheme="majorHAnsi" w:hAnsiTheme="majorHAnsi" w:cstheme="majorHAnsi"/>
                <w:sz w:val="18"/>
                <w:szCs w:val="18"/>
                <w:lang w:bidi="ar-SA"/>
              </w:rPr>
              <w:t>U čtyř indikátorů bylo</w:t>
            </w:r>
            <w:r w:rsidRPr="00C06350">
              <w:rPr>
                <w:rFonts w:asciiTheme="majorHAnsi" w:hAnsiTheme="majorHAnsi" w:cstheme="majorHAnsi"/>
                <w:sz w:val="18"/>
                <w:szCs w:val="18"/>
                <w:lang w:bidi="ar-SA"/>
              </w:rPr>
              <w:t xml:space="preserve"> k 10/2018 </w:t>
            </w:r>
            <w:r>
              <w:rPr>
                <w:rFonts w:asciiTheme="majorHAnsi" w:hAnsiTheme="majorHAnsi" w:cstheme="majorHAnsi"/>
                <w:sz w:val="18"/>
                <w:szCs w:val="18"/>
                <w:lang w:bidi="ar-SA"/>
              </w:rPr>
              <w:t xml:space="preserve">již dosaženo </w:t>
            </w:r>
            <w:r w:rsidRPr="00C06350">
              <w:rPr>
                <w:rFonts w:asciiTheme="majorHAnsi" w:hAnsiTheme="majorHAnsi" w:cstheme="majorHAnsi"/>
                <w:sz w:val="18"/>
                <w:szCs w:val="18"/>
                <w:lang w:bidi="ar-SA"/>
              </w:rPr>
              <w:t>cílových hodnot.</w:t>
            </w:r>
            <w:r>
              <w:rPr>
                <w:rFonts w:asciiTheme="majorHAnsi" w:hAnsiTheme="majorHAnsi" w:cstheme="majorHAnsi"/>
                <w:sz w:val="18"/>
                <w:szCs w:val="18"/>
                <w:lang w:bidi="ar-SA"/>
              </w:rPr>
              <w:t xml:space="preserve"> Zjevně nenaplněn zůstane plánovaný počet studentů na stážích.</w:t>
            </w:r>
          </w:p>
        </w:tc>
      </w:tr>
    </w:tbl>
    <w:p w14:paraId="47C7E854" w14:textId="77777777" w:rsidR="00A33BBC" w:rsidRPr="001B560C" w:rsidRDefault="00A33BBC" w:rsidP="00A33BBC">
      <w:pPr>
        <w:spacing w:before="0" w:after="0" w:line="240" w:lineRule="auto"/>
        <w:jc w:val="left"/>
        <w:rPr>
          <w:sz w:val="18"/>
          <w:szCs w:val="18"/>
          <w:lang w:bidi="ar-SA"/>
        </w:rPr>
      </w:pPr>
      <w:r w:rsidRPr="001B560C">
        <w:rPr>
          <w:sz w:val="18"/>
          <w:szCs w:val="18"/>
          <w:lang w:bidi="ar-SA"/>
        </w:rPr>
        <w:t xml:space="preserve">Zdroj: </w:t>
      </w:r>
      <w:r>
        <w:rPr>
          <w:sz w:val="18"/>
          <w:szCs w:val="18"/>
          <w:lang w:bidi="ar-SA"/>
        </w:rPr>
        <w:t>monitoring MPO, vlastní zpracování</w:t>
      </w:r>
    </w:p>
    <w:p w14:paraId="5B28C3BE" w14:textId="77777777" w:rsidR="00A33BBC" w:rsidRDefault="00A33BBC" w:rsidP="00A33BBC">
      <w:pPr>
        <w:rPr>
          <w:b/>
          <w:u w:val="single"/>
          <w:lang w:bidi="ar-SA"/>
        </w:rPr>
      </w:pPr>
      <w:r w:rsidRPr="00916C7D">
        <w:rPr>
          <w:b/>
          <w:u w:val="single"/>
          <w:lang w:bidi="ar-SA"/>
        </w:rPr>
        <w:lastRenderedPageBreak/>
        <w:t>C</w:t>
      </w:r>
      <w:r w:rsidR="00345662">
        <w:rPr>
          <w:b/>
          <w:u w:val="single"/>
          <w:lang w:bidi="ar-SA"/>
        </w:rPr>
        <w:t>.</w:t>
      </w:r>
      <w:r w:rsidRPr="00916C7D">
        <w:rPr>
          <w:b/>
          <w:u w:val="single"/>
          <w:lang w:bidi="ar-SA"/>
        </w:rPr>
        <w:t xml:space="preserve"> Zvýšení ekonomických přínosů veřejného výzkumu</w:t>
      </w:r>
    </w:p>
    <w:p w14:paraId="45EA3913" w14:textId="77777777" w:rsidR="00A33BBC" w:rsidRPr="00F860BD" w:rsidRDefault="00A33BBC" w:rsidP="00A33BBC">
      <w:pPr>
        <w:spacing w:after="0"/>
        <w:rPr>
          <w:lang w:bidi="ar-SA"/>
        </w:rPr>
      </w:pPr>
      <w:r>
        <w:rPr>
          <w:lang w:bidi="ar-SA"/>
        </w:rPr>
        <w:t>Indikátorová soustava klíčové oblasti změn zahrnuje pro jednotlivé úrovně tyto indikátory:</w:t>
      </w:r>
    </w:p>
    <w:p w14:paraId="459C5AB4" w14:textId="77777777" w:rsidR="00A33BBC" w:rsidRDefault="00A33BBC" w:rsidP="00D10F0D">
      <w:pPr>
        <w:pStyle w:val="Odstavecseseznamem"/>
        <w:numPr>
          <w:ilvl w:val="0"/>
          <w:numId w:val="18"/>
        </w:numPr>
        <w:rPr>
          <w:lang w:bidi="ar-SA"/>
        </w:rPr>
      </w:pPr>
      <w:r>
        <w:rPr>
          <w:lang w:bidi="ar-SA"/>
        </w:rPr>
        <w:t>strategické cíle (3 indikátory NČI)</w:t>
      </w:r>
    </w:p>
    <w:p w14:paraId="1A508C33" w14:textId="77777777" w:rsidR="00A33BBC" w:rsidRDefault="00A33BBC" w:rsidP="00D10F0D">
      <w:pPr>
        <w:pStyle w:val="Odstavecseseznamem"/>
        <w:numPr>
          <w:ilvl w:val="0"/>
          <w:numId w:val="18"/>
        </w:numPr>
        <w:rPr>
          <w:lang w:bidi="ar-SA"/>
        </w:rPr>
      </w:pPr>
      <w:r>
        <w:rPr>
          <w:lang w:bidi="ar-SA"/>
        </w:rPr>
        <w:t>specifické cíle (17 indikátorů NČI)</w:t>
      </w:r>
    </w:p>
    <w:p w14:paraId="1F1F4E15" w14:textId="77777777" w:rsidR="00A33BBC" w:rsidRDefault="00A33BBC" w:rsidP="00A33BBC">
      <w:pPr>
        <w:spacing w:before="0" w:after="0" w:line="240" w:lineRule="auto"/>
        <w:rPr>
          <w:rFonts w:eastAsia="Times New Roman" w:cs="Calibri"/>
          <w:color w:val="000000"/>
          <w:spacing w:val="0"/>
          <w:szCs w:val="22"/>
          <w:lang w:eastAsia="cs-CZ" w:bidi="ar-SA"/>
        </w:rPr>
      </w:pPr>
      <w:bookmarkStart w:id="75" w:name="_Toc5626499"/>
      <w:r w:rsidRPr="00570F07">
        <w:rPr>
          <w:b/>
          <w:szCs w:val="22"/>
        </w:rPr>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16</w:t>
      </w:r>
      <w:r w:rsidR="008A090D" w:rsidRPr="00570F07">
        <w:rPr>
          <w:b/>
          <w:szCs w:val="22"/>
        </w:rPr>
        <w:fldChar w:fldCharType="end"/>
      </w:r>
      <w:r w:rsidRPr="00570F07">
        <w:rPr>
          <w:b/>
          <w:szCs w:val="22"/>
        </w:rPr>
        <w:t xml:space="preserve"> </w:t>
      </w:r>
      <w:r>
        <w:rPr>
          <w:b/>
          <w:szCs w:val="22"/>
        </w:rPr>
        <w:t>–</w:t>
      </w:r>
      <w:r w:rsidRPr="00570F07">
        <w:rPr>
          <w:b/>
          <w:szCs w:val="22"/>
        </w:rPr>
        <w:t xml:space="preserve"> </w:t>
      </w:r>
      <w:r w:rsidRPr="00F860BD">
        <w:rPr>
          <w:rFonts w:eastAsia="Times New Roman" w:cs="Calibri"/>
          <w:color w:val="000000"/>
          <w:spacing w:val="0"/>
          <w:szCs w:val="22"/>
          <w:lang w:eastAsia="cs-CZ" w:bidi="ar-SA"/>
        </w:rPr>
        <w:t xml:space="preserve">Indikátory specifických cílů </w:t>
      </w:r>
      <w:r w:rsidR="00345662">
        <w:rPr>
          <w:rFonts w:eastAsia="Times New Roman" w:cs="Calibri"/>
          <w:color w:val="000000"/>
          <w:spacing w:val="0"/>
          <w:szCs w:val="22"/>
          <w:lang w:eastAsia="cs-CZ" w:bidi="ar-SA"/>
        </w:rPr>
        <w:t>klíčové oblasti změn</w:t>
      </w:r>
      <w:r w:rsidRPr="00F860BD">
        <w:rPr>
          <w:rFonts w:eastAsia="Times New Roman" w:cs="Calibri"/>
          <w:color w:val="000000"/>
          <w:spacing w:val="0"/>
          <w:szCs w:val="22"/>
          <w:lang w:eastAsia="cs-CZ" w:bidi="ar-SA"/>
        </w:rPr>
        <w:t xml:space="preserve"> </w:t>
      </w:r>
      <w:r w:rsidRPr="008B341C">
        <w:rPr>
          <w:rFonts w:eastAsia="Times New Roman" w:cs="Calibri"/>
          <w:color w:val="000000"/>
          <w:spacing w:val="0"/>
          <w:szCs w:val="22"/>
          <w:lang w:eastAsia="cs-CZ" w:bidi="ar-SA"/>
        </w:rPr>
        <w:t>C</w:t>
      </w:r>
      <w:r w:rsidR="00345662">
        <w:rPr>
          <w:rFonts w:eastAsia="Times New Roman" w:cs="Calibri"/>
          <w:color w:val="000000"/>
          <w:spacing w:val="0"/>
          <w:szCs w:val="22"/>
          <w:lang w:eastAsia="cs-CZ" w:bidi="ar-SA"/>
        </w:rPr>
        <w:t>.</w:t>
      </w:r>
      <w:r w:rsidRPr="008B341C">
        <w:rPr>
          <w:rFonts w:eastAsia="Times New Roman" w:cs="Calibri"/>
          <w:color w:val="000000"/>
          <w:spacing w:val="0"/>
          <w:szCs w:val="22"/>
          <w:lang w:eastAsia="cs-CZ" w:bidi="ar-SA"/>
        </w:rPr>
        <w:t xml:space="preserve"> Zvýšení ekonomických přínosů veřejného výzkumu</w:t>
      </w:r>
      <w:bookmarkEnd w:id="75"/>
    </w:p>
    <w:p w14:paraId="0F032F08" w14:textId="77777777" w:rsidR="00A33BBC" w:rsidRDefault="00A33BBC" w:rsidP="00A33BBC">
      <w:pPr>
        <w:spacing w:before="0" w:after="0" w:line="240" w:lineRule="auto"/>
        <w:rPr>
          <w:lang w:bidi="ar-SA"/>
        </w:rPr>
      </w:pPr>
    </w:p>
    <w:tbl>
      <w:tblPr>
        <w:tblStyle w:val="Mkatabulky"/>
        <w:tblW w:w="92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16"/>
        <w:gridCol w:w="3381"/>
      </w:tblGrid>
      <w:tr w:rsidR="00A33BBC" w:rsidRPr="00C06350" w14:paraId="30DA2218" w14:textId="77777777" w:rsidTr="00F10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9" w:type="dxa"/>
          </w:tcPr>
          <w:p w14:paraId="0830109D" w14:textId="77777777" w:rsidR="00A33BBC" w:rsidRDefault="00A33BBC" w:rsidP="00F10A9D">
            <w:pPr>
              <w:spacing w:before="0" w:after="0" w:line="240" w:lineRule="auto"/>
              <w:jc w:val="left"/>
              <w:rPr>
                <w:rFonts w:eastAsia="Times New Roman" w:cs="Calibri"/>
                <w:b/>
                <w:color w:val="000000"/>
                <w:spacing w:val="0"/>
                <w:szCs w:val="22"/>
                <w:lang w:eastAsia="cs-CZ" w:bidi="ar-SA"/>
              </w:rPr>
            </w:pPr>
            <w:r w:rsidRPr="00F370A3">
              <w:rPr>
                <w:noProof/>
                <w:lang w:eastAsia="cs-CZ" w:bidi="ar-SA"/>
              </w:rPr>
              <w:drawing>
                <wp:inline distT="0" distB="0" distL="0" distR="0" wp14:anchorId="380BA6E3" wp14:editId="320E1ED1">
                  <wp:extent cx="3600000" cy="2144667"/>
                  <wp:effectExtent l="19050" t="0" r="450" b="0"/>
                  <wp:docPr id="8"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srcRect/>
                          <a:stretch>
                            <a:fillRect/>
                          </a:stretch>
                        </pic:blipFill>
                        <pic:spPr bwMode="auto">
                          <a:xfrm>
                            <a:off x="0" y="0"/>
                            <a:ext cx="3600000" cy="2144667"/>
                          </a:xfrm>
                          <a:prstGeom prst="rect">
                            <a:avLst/>
                          </a:prstGeom>
                          <a:noFill/>
                          <a:ln w="9525">
                            <a:noFill/>
                            <a:miter lim="800000"/>
                            <a:headEnd/>
                            <a:tailEnd/>
                          </a:ln>
                        </pic:spPr>
                      </pic:pic>
                    </a:graphicData>
                  </a:graphic>
                </wp:inline>
              </w:drawing>
            </w:r>
          </w:p>
        </w:tc>
        <w:tc>
          <w:tcPr>
            <w:tcW w:w="3628" w:type="dxa"/>
            <w:vAlign w:val="top"/>
          </w:tcPr>
          <w:p w14:paraId="36FA0E2F" w14:textId="77777777" w:rsidR="00A33BBC" w:rsidRDefault="00A33BBC" w:rsidP="00F10A9D">
            <w:pPr>
              <w:spacing w:before="120" w:after="120"/>
              <w:jc w:val="left"/>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8"/>
                <w:szCs w:val="18"/>
                <w:lang w:bidi="ar-SA"/>
              </w:rPr>
            </w:pPr>
            <w:r w:rsidRPr="00C06350">
              <w:rPr>
                <w:rFonts w:asciiTheme="majorHAnsi" w:hAnsiTheme="majorHAnsi" w:cstheme="majorHAnsi"/>
                <w:sz w:val="18"/>
                <w:szCs w:val="18"/>
                <w:lang w:bidi="ar-SA"/>
              </w:rPr>
              <w:t>Z</w:t>
            </w:r>
            <w:r>
              <w:rPr>
                <w:rFonts w:asciiTheme="majorHAnsi" w:hAnsiTheme="majorHAnsi" w:cstheme="majorHAnsi"/>
                <w:sz w:val="18"/>
                <w:szCs w:val="18"/>
                <w:lang w:bidi="ar-SA"/>
              </w:rPr>
              <w:t>e</w:t>
            </w:r>
            <w:r w:rsidRPr="00C06350">
              <w:rPr>
                <w:rFonts w:asciiTheme="majorHAnsi" w:hAnsiTheme="majorHAnsi" w:cstheme="majorHAnsi"/>
                <w:sz w:val="18"/>
                <w:szCs w:val="18"/>
                <w:lang w:bidi="ar-SA"/>
              </w:rPr>
              <w:t> </w:t>
            </w:r>
            <w:r>
              <w:rPr>
                <w:rFonts w:asciiTheme="majorHAnsi" w:hAnsiTheme="majorHAnsi" w:cstheme="majorHAnsi"/>
                <w:sz w:val="18"/>
                <w:szCs w:val="18"/>
                <w:lang w:bidi="ar-SA"/>
              </w:rPr>
              <w:t>17</w:t>
            </w:r>
            <w:r w:rsidRPr="00C06350">
              <w:rPr>
                <w:rFonts w:asciiTheme="majorHAnsi" w:hAnsiTheme="majorHAnsi" w:cstheme="majorHAnsi"/>
                <w:sz w:val="18"/>
                <w:szCs w:val="18"/>
                <w:lang w:bidi="ar-SA"/>
              </w:rPr>
              <w:t xml:space="preserve"> indikátorů specifických cílů, uvedených v NRIS3 je v operačních programech monitorováno </w:t>
            </w:r>
            <w:r>
              <w:rPr>
                <w:rFonts w:asciiTheme="majorHAnsi" w:hAnsiTheme="majorHAnsi" w:cstheme="majorHAnsi"/>
                <w:sz w:val="18"/>
                <w:szCs w:val="18"/>
                <w:lang w:bidi="ar-SA"/>
              </w:rPr>
              <w:t>8 z nich</w:t>
            </w:r>
            <w:r w:rsidRPr="00C06350">
              <w:rPr>
                <w:rFonts w:asciiTheme="majorHAnsi" w:hAnsiTheme="majorHAnsi" w:cstheme="majorHAnsi"/>
                <w:sz w:val="18"/>
                <w:szCs w:val="18"/>
                <w:lang w:bidi="ar-SA"/>
              </w:rPr>
              <w:t xml:space="preserve">. </w:t>
            </w:r>
          </w:p>
          <w:p w14:paraId="31FEEEED" w14:textId="77777777" w:rsidR="00A33BBC" w:rsidRDefault="00A33BBC" w:rsidP="00F10A9D">
            <w:pPr>
              <w:spacing w:before="120" w:after="120"/>
              <w:jc w:val="lef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sidRPr="00C06350">
              <w:rPr>
                <w:rFonts w:asciiTheme="majorHAnsi" w:hAnsiTheme="majorHAnsi" w:cstheme="majorHAnsi"/>
                <w:sz w:val="18"/>
                <w:szCs w:val="18"/>
                <w:lang w:bidi="ar-SA"/>
              </w:rPr>
              <w:t xml:space="preserve">Z </w:t>
            </w:r>
            <w:r>
              <w:rPr>
                <w:rFonts w:asciiTheme="majorHAnsi" w:hAnsiTheme="majorHAnsi" w:cstheme="majorHAnsi"/>
                <w:sz w:val="18"/>
                <w:szCs w:val="18"/>
                <w:lang w:bidi="ar-SA"/>
              </w:rPr>
              <w:t>8</w:t>
            </w:r>
            <w:r w:rsidRPr="00C06350">
              <w:rPr>
                <w:rFonts w:asciiTheme="majorHAnsi" w:hAnsiTheme="majorHAnsi" w:cstheme="majorHAnsi"/>
                <w:sz w:val="18"/>
                <w:szCs w:val="18"/>
                <w:lang w:bidi="ar-SA"/>
              </w:rPr>
              <w:t xml:space="preserve"> sledovaných indikátorů ji</w:t>
            </w:r>
            <w:r>
              <w:rPr>
                <w:rFonts w:asciiTheme="majorHAnsi" w:hAnsiTheme="majorHAnsi" w:cstheme="majorHAnsi"/>
                <w:sz w:val="18"/>
                <w:szCs w:val="18"/>
                <w:lang w:bidi="ar-SA"/>
              </w:rPr>
              <w:t>ch</w:t>
            </w:r>
            <w:r w:rsidRPr="00C06350">
              <w:rPr>
                <w:rFonts w:asciiTheme="majorHAnsi" w:hAnsiTheme="majorHAnsi" w:cstheme="majorHAnsi"/>
                <w:sz w:val="18"/>
                <w:szCs w:val="18"/>
                <w:lang w:bidi="ar-SA"/>
              </w:rPr>
              <w:t xml:space="preserve"> má výsledkový charakter pouze </w:t>
            </w:r>
            <w:r>
              <w:rPr>
                <w:rFonts w:asciiTheme="majorHAnsi" w:hAnsiTheme="majorHAnsi" w:cstheme="majorHAnsi"/>
                <w:sz w:val="18"/>
                <w:szCs w:val="18"/>
                <w:lang w:bidi="ar-SA"/>
              </w:rPr>
              <w:t>6</w:t>
            </w:r>
            <w:r w:rsidRPr="00C06350">
              <w:rPr>
                <w:rFonts w:asciiTheme="majorHAnsi" w:hAnsiTheme="majorHAnsi" w:cstheme="majorHAnsi"/>
                <w:sz w:val="18"/>
                <w:szCs w:val="18"/>
                <w:lang w:bidi="ar-SA"/>
              </w:rPr>
              <w:t>, zbývající</w:t>
            </w:r>
            <w:r w:rsidRPr="00C06350">
              <w:rPr>
                <w:rFonts w:asciiTheme="majorHAnsi" w:eastAsia="Times New Roman" w:hAnsiTheme="majorHAnsi" w:cstheme="majorHAnsi"/>
                <w:color w:val="000000"/>
                <w:spacing w:val="0"/>
                <w:sz w:val="18"/>
                <w:szCs w:val="18"/>
                <w:lang w:eastAsia="cs-CZ" w:bidi="ar-SA"/>
              </w:rPr>
              <w:t xml:space="preserve"> </w:t>
            </w:r>
            <w:r>
              <w:rPr>
                <w:rFonts w:asciiTheme="majorHAnsi" w:eastAsia="Times New Roman" w:hAnsiTheme="majorHAnsi" w:cstheme="majorHAnsi"/>
                <w:color w:val="000000"/>
                <w:spacing w:val="0"/>
                <w:sz w:val="18"/>
                <w:szCs w:val="18"/>
                <w:lang w:eastAsia="cs-CZ" w:bidi="ar-SA"/>
              </w:rPr>
              <w:t>2 </w:t>
            </w:r>
            <w:r w:rsidRPr="00C06350">
              <w:rPr>
                <w:rFonts w:asciiTheme="majorHAnsi" w:eastAsia="Times New Roman" w:hAnsiTheme="majorHAnsi" w:cstheme="majorHAnsi"/>
                <w:color w:val="000000"/>
                <w:spacing w:val="0"/>
                <w:sz w:val="18"/>
                <w:szCs w:val="18"/>
                <w:lang w:eastAsia="cs-CZ" w:bidi="ar-SA"/>
              </w:rPr>
              <w:t>odráží počet podpořených subjektů bez vazby na výsledek.</w:t>
            </w:r>
          </w:p>
          <w:p w14:paraId="1C20C960" w14:textId="77777777" w:rsidR="00A33BBC" w:rsidRPr="00C06350" w:rsidRDefault="00A33BBC" w:rsidP="00F10A9D">
            <w:pPr>
              <w:spacing w:before="120" w:after="120"/>
              <w:jc w:val="lef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Pr>
                <w:rFonts w:asciiTheme="majorHAnsi" w:hAnsiTheme="majorHAnsi" w:cstheme="majorHAnsi"/>
                <w:sz w:val="18"/>
                <w:szCs w:val="18"/>
                <w:lang w:bidi="ar-SA"/>
              </w:rPr>
              <w:t>U pěti indikátorů bylo</w:t>
            </w:r>
            <w:r w:rsidRPr="00C06350">
              <w:rPr>
                <w:rFonts w:asciiTheme="majorHAnsi" w:hAnsiTheme="majorHAnsi" w:cstheme="majorHAnsi"/>
                <w:sz w:val="18"/>
                <w:szCs w:val="18"/>
                <w:lang w:bidi="ar-SA"/>
              </w:rPr>
              <w:t xml:space="preserve"> k 10/2018 </w:t>
            </w:r>
            <w:r>
              <w:rPr>
                <w:rFonts w:asciiTheme="majorHAnsi" w:hAnsiTheme="majorHAnsi" w:cstheme="majorHAnsi"/>
                <w:sz w:val="18"/>
                <w:szCs w:val="18"/>
                <w:lang w:bidi="ar-SA"/>
              </w:rPr>
              <w:t xml:space="preserve">již dosaženo </w:t>
            </w:r>
            <w:r w:rsidRPr="00C06350">
              <w:rPr>
                <w:rFonts w:asciiTheme="majorHAnsi" w:hAnsiTheme="majorHAnsi" w:cstheme="majorHAnsi"/>
                <w:sz w:val="18"/>
                <w:szCs w:val="18"/>
                <w:lang w:bidi="ar-SA"/>
              </w:rPr>
              <w:t>cílových hodnot.</w:t>
            </w:r>
            <w:r>
              <w:rPr>
                <w:rFonts w:asciiTheme="majorHAnsi" w:hAnsiTheme="majorHAnsi" w:cstheme="majorHAnsi"/>
                <w:sz w:val="18"/>
                <w:szCs w:val="18"/>
                <w:lang w:bidi="ar-SA"/>
              </w:rPr>
              <w:t xml:space="preserve"> Vzh</w:t>
            </w:r>
            <w:r w:rsidR="00345662">
              <w:rPr>
                <w:rFonts w:asciiTheme="majorHAnsi" w:hAnsiTheme="majorHAnsi" w:cstheme="majorHAnsi"/>
                <w:sz w:val="18"/>
                <w:szCs w:val="18"/>
                <w:lang w:bidi="ar-SA"/>
              </w:rPr>
              <w:t>l</w:t>
            </w:r>
            <w:r>
              <w:rPr>
                <w:rFonts w:asciiTheme="majorHAnsi" w:hAnsiTheme="majorHAnsi" w:cstheme="majorHAnsi"/>
                <w:sz w:val="18"/>
                <w:szCs w:val="18"/>
                <w:lang w:bidi="ar-SA"/>
              </w:rPr>
              <w:t>edem k meziročnímu vývoji je určité riziko, že cílová hodnota indikátorů plněných cca z poloviny nebude dosažena.</w:t>
            </w:r>
          </w:p>
        </w:tc>
      </w:tr>
    </w:tbl>
    <w:p w14:paraId="3B5AD1BA" w14:textId="77777777" w:rsidR="00A33BBC" w:rsidRPr="001B560C" w:rsidRDefault="00A33BBC" w:rsidP="00A33BBC">
      <w:pPr>
        <w:spacing w:before="0" w:after="0" w:line="240" w:lineRule="auto"/>
        <w:jc w:val="left"/>
        <w:rPr>
          <w:sz w:val="18"/>
          <w:szCs w:val="18"/>
          <w:lang w:bidi="ar-SA"/>
        </w:rPr>
      </w:pPr>
      <w:r w:rsidRPr="001B560C">
        <w:rPr>
          <w:sz w:val="18"/>
          <w:szCs w:val="18"/>
          <w:lang w:bidi="ar-SA"/>
        </w:rPr>
        <w:t xml:space="preserve">Zdroj: </w:t>
      </w:r>
      <w:r>
        <w:rPr>
          <w:sz w:val="18"/>
          <w:szCs w:val="18"/>
          <w:lang w:bidi="ar-SA"/>
        </w:rPr>
        <w:t>monitoring MPO, vlastní zpracování</w:t>
      </w:r>
    </w:p>
    <w:p w14:paraId="262CB2B3" w14:textId="77777777" w:rsidR="00A33BBC" w:rsidRDefault="00A33BBC" w:rsidP="00A33BBC">
      <w:pPr>
        <w:rPr>
          <w:b/>
          <w:lang w:bidi="ar-SA"/>
        </w:rPr>
      </w:pPr>
    </w:p>
    <w:p w14:paraId="1BD0469C" w14:textId="77777777" w:rsidR="00A33BBC" w:rsidRDefault="00A33BBC" w:rsidP="00A33BBC">
      <w:pPr>
        <w:rPr>
          <w:b/>
          <w:u w:val="single"/>
          <w:lang w:bidi="ar-SA"/>
        </w:rPr>
      </w:pPr>
      <w:r w:rsidRPr="00916C7D">
        <w:rPr>
          <w:b/>
          <w:u w:val="single"/>
          <w:lang w:bidi="ar-SA"/>
        </w:rPr>
        <w:t>D</w:t>
      </w:r>
      <w:r w:rsidR="00345662">
        <w:rPr>
          <w:b/>
          <w:u w:val="single"/>
          <w:lang w:bidi="ar-SA"/>
        </w:rPr>
        <w:t>.</w:t>
      </w:r>
      <w:r w:rsidRPr="00916C7D">
        <w:rPr>
          <w:b/>
          <w:u w:val="single"/>
          <w:lang w:bidi="ar-SA"/>
        </w:rPr>
        <w:t xml:space="preserve"> Lepší nabídka lidí v počtu i kvalitě pro inovační podnikání, výzkum a vývoj</w:t>
      </w:r>
    </w:p>
    <w:p w14:paraId="20319063" w14:textId="77777777" w:rsidR="00A33BBC" w:rsidRPr="00F860BD" w:rsidRDefault="00A33BBC" w:rsidP="00A33BBC">
      <w:pPr>
        <w:rPr>
          <w:lang w:bidi="ar-SA"/>
        </w:rPr>
      </w:pPr>
      <w:r>
        <w:rPr>
          <w:lang w:bidi="ar-SA"/>
        </w:rPr>
        <w:t>Indikátorová soustava klíčové oblasti změn zahrnuje pro jednotlivé úrovně tyto indikátory:</w:t>
      </w:r>
    </w:p>
    <w:p w14:paraId="287CE4E8" w14:textId="77777777" w:rsidR="00A33BBC" w:rsidRDefault="00A33BBC" w:rsidP="00D10F0D">
      <w:pPr>
        <w:pStyle w:val="Odstavecseseznamem"/>
        <w:numPr>
          <w:ilvl w:val="0"/>
          <w:numId w:val="18"/>
        </w:numPr>
        <w:rPr>
          <w:lang w:bidi="ar-SA"/>
        </w:rPr>
      </w:pPr>
      <w:r>
        <w:rPr>
          <w:lang w:bidi="ar-SA"/>
        </w:rPr>
        <w:t>strategické cíle (6 indikátorů NČI plus 7 mimo NČI)</w:t>
      </w:r>
    </w:p>
    <w:p w14:paraId="5A6661EF" w14:textId="77777777" w:rsidR="00A33BBC" w:rsidRDefault="00A33BBC" w:rsidP="00D10F0D">
      <w:pPr>
        <w:pStyle w:val="Odstavecseseznamem"/>
        <w:numPr>
          <w:ilvl w:val="0"/>
          <w:numId w:val="18"/>
        </w:numPr>
        <w:rPr>
          <w:lang w:bidi="ar-SA"/>
        </w:rPr>
      </w:pPr>
      <w:r>
        <w:rPr>
          <w:lang w:bidi="ar-SA"/>
        </w:rPr>
        <w:t>specifické cíle (89 indikátorů NČI)</w:t>
      </w:r>
    </w:p>
    <w:p w14:paraId="24C7FCDF" w14:textId="77777777" w:rsidR="00A33BBC" w:rsidRDefault="00A33BBC" w:rsidP="00A33BBC">
      <w:pPr>
        <w:rPr>
          <w:lang w:bidi="ar-SA"/>
        </w:rPr>
      </w:pPr>
      <w:bookmarkStart w:id="76" w:name="_Toc5626500"/>
      <w:r w:rsidRPr="00570F07">
        <w:rPr>
          <w:b/>
          <w:szCs w:val="22"/>
        </w:rPr>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17</w:t>
      </w:r>
      <w:r w:rsidR="008A090D" w:rsidRPr="00570F07">
        <w:rPr>
          <w:b/>
          <w:szCs w:val="22"/>
        </w:rPr>
        <w:fldChar w:fldCharType="end"/>
      </w:r>
      <w:r w:rsidRPr="00570F07">
        <w:rPr>
          <w:b/>
          <w:szCs w:val="22"/>
        </w:rPr>
        <w:t xml:space="preserve"> </w:t>
      </w:r>
      <w:r>
        <w:rPr>
          <w:b/>
          <w:szCs w:val="22"/>
        </w:rPr>
        <w:t>–</w:t>
      </w:r>
      <w:r w:rsidRPr="00570F07">
        <w:rPr>
          <w:b/>
          <w:szCs w:val="22"/>
        </w:rPr>
        <w:t xml:space="preserve"> </w:t>
      </w:r>
      <w:r w:rsidRPr="00F860BD">
        <w:rPr>
          <w:rFonts w:eastAsia="Times New Roman" w:cs="Calibri"/>
          <w:color w:val="000000"/>
          <w:spacing w:val="0"/>
          <w:szCs w:val="22"/>
          <w:lang w:eastAsia="cs-CZ" w:bidi="ar-SA"/>
        </w:rPr>
        <w:t xml:space="preserve">Indikátory specifických cílů </w:t>
      </w:r>
      <w:r w:rsidR="00345662">
        <w:rPr>
          <w:rFonts w:eastAsia="Times New Roman" w:cs="Calibri"/>
          <w:color w:val="000000"/>
          <w:spacing w:val="0"/>
          <w:szCs w:val="22"/>
          <w:lang w:eastAsia="cs-CZ" w:bidi="ar-SA"/>
        </w:rPr>
        <w:t>klíčové oblasti změn</w:t>
      </w:r>
      <w:r w:rsidRPr="00F860BD">
        <w:rPr>
          <w:rFonts w:eastAsia="Times New Roman" w:cs="Calibri"/>
          <w:color w:val="000000"/>
          <w:spacing w:val="0"/>
          <w:szCs w:val="22"/>
          <w:lang w:eastAsia="cs-CZ" w:bidi="ar-SA"/>
        </w:rPr>
        <w:t xml:space="preserve"> </w:t>
      </w:r>
      <w:r w:rsidRPr="003A0551">
        <w:rPr>
          <w:rFonts w:eastAsia="Times New Roman" w:cs="Calibri"/>
          <w:color w:val="000000"/>
          <w:spacing w:val="0"/>
          <w:szCs w:val="22"/>
          <w:lang w:eastAsia="cs-CZ" w:bidi="ar-SA"/>
        </w:rPr>
        <w:t>D</w:t>
      </w:r>
      <w:r w:rsidR="00345662">
        <w:rPr>
          <w:rFonts w:eastAsia="Times New Roman" w:cs="Calibri"/>
          <w:color w:val="000000"/>
          <w:spacing w:val="0"/>
          <w:szCs w:val="22"/>
          <w:lang w:eastAsia="cs-CZ" w:bidi="ar-SA"/>
        </w:rPr>
        <w:t>.</w:t>
      </w:r>
      <w:r w:rsidRPr="003A0551">
        <w:rPr>
          <w:rFonts w:eastAsia="Times New Roman" w:cs="Calibri"/>
          <w:color w:val="000000"/>
          <w:spacing w:val="0"/>
          <w:szCs w:val="22"/>
          <w:lang w:eastAsia="cs-CZ" w:bidi="ar-SA"/>
        </w:rPr>
        <w:t xml:space="preserve"> Lepší nabídka lidí v počtu i kvalitě pro inovační podnikání, výzkum a vývoj</w:t>
      </w:r>
      <w:bookmarkEnd w:id="76"/>
    </w:p>
    <w:tbl>
      <w:tblPr>
        <w:tblStyle w:val="Mkatabulky"/>
        <w:tblW w:w="92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16"/>
        <w:gridCol w:w="3381"/>
      </w:tblGrid>
      <w:tr w:rsidR="00A33BBC" w:rsidRPr="00C06350" w14:paraId="23CBEBEA" w14:textId="77777777" w:rsidTr="00F10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9" w:type="dxa"/>
          </w:tcPr>
          <w:p w14:paraId="273CB1D5" w14:textId="77777777" w:rsidR="00A33BBC" w:rsidRDefault="00A33BBC" w:rsidP="00AA2EC2">
            <w:pPr>
              <w:spacing w:before="120" w:after="0" w:line="240" w:lineRule="auto"/>
              <w:jc w:val="left"/>
              <w:rPr>
                <w:rFonts w:eastAsia="Times New Roman" w:cs="Calibri"/>
                <w:b/>
                <w:color w:val="000000"/>
                <w:spacing w:val="0"/>
                <w:szCs w:val="22"/>
                <w:lang w:eastAsia="cs-CZ" w:bidi="ar-SA"/>
              </w:rPr>
            </w:pPr>
            <w:r w:rsidRPr="00F370A3">
              <w:rPr>
                <w:noProof/>
                <w:lang w:eastAsia="cs-CZ" w:bidi="ar-SA"/>
              </w:rPr>
              <w:drawing>
                <wp:inline distT="0" distB="0" distL="0" distR="0" wp14:anchorId="62C11549" wp14:editId="245A77CC">
                  <wp:extent cx="3600000" cy="1282052"/>
                  <wp:effectExtent l="19050" t="0" r="450" b="0"/>
                  <wp:docPr id="9"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srcRect/>
                          <a:stretch>
                            <a:fillRect/>
                          </a:stretch>
                        </pic:blipFill>
                        <pic:spPr bwMode="auto">
                          <a:xfrm>
                            <a:off x="0" y="0"/>
                            <a:ext cx="3600000" cy="1282052"/>
                          </a:xfrm>
                          <a:prstGeom prst="rect">
                            <a:avLst/>
                          </a:prstGeom>
                          <a:noFill/>
                          <a:ln w="9525">
                            <a:noFill/>
                            <a:miter lim="800000"/>
                            <a:headEnd/>
                            <a:tailEnd/>
                          </a:ln>
                        </pic:spPr>
                      </pic:pic>
                    </a:graphicData>
                  </a:graphic>
                </wp:inline>
              </w:drawing>
            </w:r>
          </w:p>
        </w:tc>
        <w:tc>
          <w:tcPr>
            <w:tcW w:w="3628" w:type="dxa"/>
            <w:vAlign w:val="top"/>
          </w:tcPr>
          <w:p w14:paraId="5E7F0268" w14:textId="77777777" w:rsidR="00A33BBC" w:rsidRDefault="00A33BBC" w:rsidP="00F10A9D">
            <w:pPr>
              <w:spacing w:before="120" w:after="120"/>
              <w:jc w:val="left"/>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8"/>
                <w:szCs w:val="18"/>
                <w:lang w:bidi="ar-SA"/>
              </w:rPr>
            </w:pPr>
            <w:r w:rsidRPr="00C06350">
              <w:rPr>
                <w:rFonts w:asciiTheme="majorHAnsi" w:hAnsiTheme="majorHAnsi" w:cstheme="majorHAnsi"/>
                <w:sz w:val="18"/>
                <w:szCs w:val="18"/>
                <w:lang w:bidi="ar-SA"/>
              </w:rPr>
              <w:t>Z</w:t>
            </w:r>
            <w:r>
              <w:rPr>
                <w:rFonts w:asciiTheme="majorHAnsi" w:hAnsiTheme="majorHAnsi" w:cstheme="majorHAnsi"/>
                <w:sz w:val="18"/>
                <w:szCs w:val="18"/>
                <w:lang w:bidi="ar-SA"/>
              </w:rPr>
              <w:t>e</w:t>
            </w:r>
            <w:r w:rsidRPr="00C06350">
              <w:rPr>
                <w:rFonts w:asciiTheme="majorHAnsi" w:hAnsiTheme="majorHAnsi" w:cstheme="majorHAnsi"/>
                <w:sz w:val="18"/>
                <w:szCs w:val="18"/>
                <w:lang w:bidi="ar-SA"/>
              </w:rPr>
              <w:t> </w:t>
            </w:r>
            <w:r>
              <w:rPr>
                <w:rFonts w:asciiTheme="majorHAnsi" w:hAnsiTheme="majorHAnsi" w:cstheme="majorHAnsi"/>
                <w:sz w:val="18"/>
                <w:szCs w:val="18"/>
                <w:lang w:bidi="ar-SA"/>
              </w:rPr>
              <w:t>89</w:t>
            </w:r>
            <w:r w:rsidRPr="00C06350">
              <w:rPr>
                <w:rFonts w:asciiTheme="majorHAnsi" w:hAnsiTheme="majorHAnsi" w:cstheme="majorHAnsi"/>
                <w:sz w:val="18"/>
                <w:szCs w:val="18"/>
                <w:lang w:bidi="ar-SA"/>
              </w:rPr>
              <w:t xml:space="preserve"> indikátorů specifických cílů, uvedených v NRIS3 j</w:t>
            </w:r>
            <w:r>
              <w:rPr>
                <w:rFonts w:asciiTheme="majorHAnsi" w:hAnsiTheme="majorHAnsi" w:cstheme="majorHAnsi"/>
                <w:sz w:val="18"/>
                <w:szCs w:val="18"/>
                <w:lang w:bidi="ar-SA"/>
              </w:rPr>
              <w:t>sou</w:t>
            </w:r>
            <w:r w:rsidRPr="00C06350">
              <w:rPr>
                <w:rFonts w:asciiTheme="majorHAnsi" w:hAnsiTheme="majorHAnsi" w:cstheme="majorHAnsi"/>
                <w:sz w:val="18"/>
                <w:szCs w:val="18"/>
                <w:lang w:bidi="ar-SA"/>
              </w:rPr>
              <w:t xml:space="preserve"> v operačních programech monitorován</w:t>
            </w:r>
            <w:r>
              <w:rPr>
                <w:rFonts w:asciiTheme="majorHAnsi" w:hAnsiTheme="majorHAnsi" w:cstheme="majorHAnsi"/>
                <w:sz w:val="18"/>
                <w:szCs w:val="18"/>
                <w:lang w:bidi="ar-SA"/>
              </w:rPr>
              <w:t>y</w:t>
            </w:r>
            <w:r w:rsidRPr="00C06350">
              <w:rPr>
                <w:rFonts w:asciiTheme="majorHAnsi" w:hAnsiTheme="majorHAnsi" w:cstheme="majorHAnsi"/>
                <w:sz w:val="18"/>
                <w:szCs w:val="18"/>
                <w:lang w:bidi="ar-SA"/>
              </w:rPr>
              <w:t xml:space="preserve"> </w:t>
            </w:r>
            <w:r>
              <w:rPr>
                <w:rFonts w:asciiTheme="majorHAnsi" w:hAnsiTheme="majorHAnsi" w:cstheme="majorHAnsi"/>
                <w:sz w:val="18"/>
                <w:szCs w:val="18"/>
                <w:lang w:bidi="ar-SA"/>
              </w:rPr>
              <w:t>4 z nich</w:t>
            </w:r>
            <w:r w:rsidRPr="00C06350">
              <w:rPr>
                <w:rFonts w:asciiTheme="majorHAnsi" w:hAnsiTheme="majorHAnsi" w:cstheme="majorHAnsi"/>
                <w:sz w:val="18"/>
                <w:szCs w:val="18"/>
                <w:lang w:bidi="ar-SA"/>
              </w:rPr>
              <w:t xml:space="preserve">. </w:t>
            </w:r>
          </w:p>
          <w:p w14:paraId="498C3B4E" w14:textId="77777777" w:rsidR="00A33BBC" w:rsidRPr="00C06350" w:rsidRDefault="00A33BBC" w:rsidP="00F10A9D">
            <w:pPr>
              <w:spacing w:before="120" w:after="120"/>
              <w:jc w:val="lef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Pr>
                <w:rFonts w:asciiTheme="majorHAnsi" w:hAnsiTheme="majorHAnsi" w:cstheme="majorHAnsi"/>
                <w:sz w:val="18"/>
                <w:szCs w:val="18"/>
                <w:lang w:bidi="ar-SA"/>
              </w:rPr>
              <w:t>Všechny sledované indikátory již dosáhly cílové hodnoty a dva z nich byly významně přeplněny.</w:t>
            </w:r>
          </w:p>
        </w:tc>
      </w:tr>
    </w:tbl>
    <w:p w14:paraId="61263BE9" w14:textId="77777777" w:rsidR="00A33BBC" w:rsidRPr="001B560C" w:rsidRDefault="00A33BBC" w:rsidP="00A33BBC">
      <w:pPr>
        <w:spacing w:before="0" w:after="0" w:line="240" w:lineRule="auto"/>
        <w:jc w:val="left"/>
        <w:rPr>
          <w:sz w:val="18"/>
          <w:szCs w:val="18"/>
          <w:lang w:bidi="ar-SA"/>
        </w:rPr>
      </w:pPr>
      <w:r w:rsidRPr="001B560C">
        <w:rPr>
          <w:sz w:val="18"/>
          <w:szCs w:val="18"/>
          <w:lang w:bidi="ar-SA"/>
        </w:rPr>
        <w:t xml:space="preserve">Zdroj: </w:t>
      </w:r>
      <w:r>
        <w:rPr>
          <w:sz w:val="18"/>
          <w:szCs w:val="18"/>
          <w:lang w:bidi="ar-SA"/>
        </w:rPr>
        <w:t>monitoring MPO, vlastní zpracování</w:t>
      </w:r>
    </w:p>
    <w:p w14:paraId="12D53390" w14:textId="77777777" w:rsidR="00A33BBC" w:rsidRDefault="00A33BBC" w:rsidP="00A33BBC">
      <w:pPr>
        <w:rPr>
          <w:lang w:bidi="ar-SA"/>
        </w:rPr>
      </w:pPr>
    </w:p>
    <w:p w14:paraId="1827CD98" w14:textId="77777777" w:rsidR="009E5EEF" w:rsidRDefault="009E5EEF">
      <w:pPr>
        <w:spacing w:before="0" w:after="0" w:line="240" w:lineRule="auto"/>
        <w:jc w:val="left"/>
        <w:rPr>
          <w:b/>
          <w:u w:val="single"/>
          <w:lang w:bidi="ar-SA"/>
        </w:rPr>
      </w:pPr>
      <w:r>
        <w:rPr>
          <w:b/>
          <w:u w:val="single"/>
          <w:lang w:bidi="ar-SA"/>
        </w:rPr>
        <w:br w:type="page"/>
      </w:r>
    </w:p>
    <w:p w14:paraId="4A06EF20" w14:textId="77777777" w:rsidR="00A33BBC" w:rsidRDefault="00A33BBC" w:rsidP="00A33BBC">
      <w:pPr>
        <w:rPr>
          <w:b/>
          <w:u w:val="single"/>
          <w:lang w:bidi="ar-SA"/>
        </w:rPr>
      </w:pPr>
      <w:r w:rsidRPr="00916C7D">
        <w:rPr>
          <w:b/>
          <w:u w:val="single"/>
          <w:lang w:bidi="ar-SA"/>
        </w:rPr>
        <w:lastRenderedPageBreak/>
        <w:t>E</w:t>
      </w:r>
      <w:r w:rsidR="00345662">
        <w:rPr>
          <w:b/>
          <w:u w:val="single"/>
          <w:lang w:bidi="ar-SA"/>
        </w:rPr>
        <w:t>.</w:t>
      </w:r>
      <w:r w:rsidRPr="00916C7D">
        <w:rPr>
          <w:b/>
          <w:u w:val="single"/>
          <w:lang w:bidi="ar-SA"/>
        </w:rPr>
        <w:t xml:space="preserve"> Rozvoj eGovernmentu a eBusinessu pro zvýšení konkurenceschopnosti</w:t>
      </w:r>
    </w:p>
    <w:p w14:paraId="07106D3B" w14:textId="77777777" w:rsidR="00A33BBC" w:rsidRPr="00F860BD" w:rsidRDefault="00A33BBC" w:rsidP="00A33BBC">
      <w:pPr>
        <w:rPr>
          <w:lang w:bidi="ar-SA"/>
        </w:rPr>
      </w:pPr>
      <w:r>
        <w:rPr>
          <w:lang w:bidi="ar-SA"/>
        </w:rPr>
        <w:t>Indikátorová soustava klíčové oblasti změn zahrnuje pro jednotlivé úrovně tyto indikátory:</w:t>
      </w:r>
    </w:p>
    <w:p w14:paraId="1C3B124E" w14:textId="77777777" w:rsidR="00A33BBC" w:rsidRDefault="00A33BBC" w:rsidP="00D10F0D">
      <w:pPr>
        <w:pStyle w:val="Odstavecseseznamem"/>
        <w:numPr>
          <w:ilvl w:val="0"/>
          <w:numId w:val="18"/>
        </w:numPr>
        <w:rPr>
          <w:lang w:bidi="ar-SA"/>
        </w:rPr>
      </w:pPr>
      <w:r>
        <w:rPr>
          <w:lang w:bidi="ar-SA"/>
        </w:rPr>
        <w:t>strategické cíle (2 indikátory NČI)</w:t>
      </w:r>
    </w:p>
    <w:p w14:paraId="2139F1B6" w14:textId="77777777" w:rsidR="00A33BBC" w:rsidRDefault="00A33BBC" w:rsidP="00D10F0D">
      <w:pPr>
        <w:pStyle w:val="Odstavecseseznamem"/>
        <w:numPr>
          <w:ilvl w:val="0"/>
          <w:numId w:val="18"/>
        </w:numPr>
        <w:rPr>
          <w:lang w:bidi="ar-SA"/>
        </w:rPr>
      </w:pPr>
      <w:r>
        <w:rPr>
          <w:lang w:bidi="ar-SA"/>
        </w:rPr>
        <w:t>specifické cíle (10 indikátorů NČI plus 3 mimo NČI)</w:t>
      </w:r>
    </w:p>
    <w:p w14:paraId="46FA8F82" w14:textId="77777777" w:rsidR="00A33BBC" w:rsidRDefault="00A33BBC" w:rsidP="00A33BBC">
      <w:pPr>
        <w:spacing w:before="0" w:after="0" w:line="240" w:lineRule="auto"/>
        <w:rPr>
          <w:lang w:bidi="ar-SA"/>
        </w:rPr>
      </w:pPr>
      <w:bookmarkStart w:id="77" w:name="_Toc5626501"/>
      <w:r w:rsidRPr="00570F07">
        <w:rPr>
          <w:b/>
          <w:szCs w:val="22"/>
        </w:rPr>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18</w:t>
      </w:r>
      <w:r w:rsidR="008A090D" w:rsidRPr="00570F07">
        <w:rPr>
          <w:b/>
          <w:szCs w:val="22"/>
        </w:rPr>
        <w:fldChar w:fldCharType="end"/>
      </w:r>
      <w:r w:rsidRPr="00570F07">
        <w:rPr>
          <w:b/>
          <w:szCs w:val="22"/>
        </w:rPr>
        <w:t xml:space="preserve"> </w:t>
      </w:r>
      <w:r>
        <w:rPr>
          <w:b/>
          <w:szCs w:val="22"/>
        </w:rPr>
        <w:t>–</w:t>
      </w:r>
      <w:r w:rsidRPr="00570F07">
        <w:rPr>
          <w:b/>
          <w:szCs w:val="22"/>
        </w:rPr>
        <w:t xml:space="preserve"> </w:t>
      </w:r>
      <w:r w:rsidRPr="00F860BD">
        <w:rPr>
          <w:rFonts w:eastAsia="Times New Roman" w:cs="Calibri"/>
          <w:color w:val="000000"/>
          <w:spacing w:val="0"/>
          <w:szCs w:val="22"/>
          <w:lang w:eastAsia="cs-CZ" w:bidi="ar-SA"/>
        </w:rPr>
        <w:t xml:space="preserve">Indikátory specifických cílů </w:t>
      </w:r>
      <w:r w:rsidR="00345662">
        <w:rPr>
          <w:rFonts w:eastAsia="Times New Roman" w:cs="Calibri"/>
          <w:color w:val="000000"/>
          <w:spacing w:val="0"/>
          <w:szCs w:val="22"/>
          <w:lang w:eastAsia="cs-CZ" w:bidi="ar-SA"/>
        </w:rPr>
        <w:t>klíčové oblasti změny</w:t>
      </w:r>
      <w:r w:rsidRPr="00F860BD">
        <w:rPr>
          <w:rFonts w:eastAsia="Times New Roman" w:cs="Calibri"/>
          <w:color w:val="000000"/>
          <w:spacing w:val="0"/>
          <w:szCs w:val="22"/>
          <w:lang w:eastAsia="cs-CZ" w:bidi="ar-SA"/>
        </w:rPr>
        <w:t xml:space="preserve"> </w:t>
      </w:r>
      <w:r w:rsidRPr="005C3144">
        <w:rPr>
          <w:rFonts w:eastAsia="Times New Roman" w:cs="Calibri"/>
          <w:color w:val="000000"/>
          <w:spacing w:val="0"/>
          <w:szCs w:val="22"/>
          <w:lang w:eastAsia="cs-CZ" w:bidi="ar-SA"/>
        </w:rPr>
        <w:t>E</w:t>
      </w:r>
      <w:r w:rsidR="00345662">
        <w:rPr>
          <w:rFonts w:eastAsia="Times New Roman" w:cs="Calibri"/>
          <w:color w:val="000000"/>
          <w:spacing w:val="0"/>
          <w:szCs w:val="22"/>
          <w:lang w:eastAsia="cs-CZ" w:bidi="ar-SA"/>
        </w:rPr>
        <w:t>.</w:t>
      </w:r>
      <w:r w:rsidRPr="005C3144">
        <w:rPr>
          <w:rFonts w:eastAsia="Times New Roman" w:cs="Calibri"/>
          <w:color w:val="000000"/>
          <w:spacing w:val="0"/>
          <w:szCs w:val="22"/>
          <w:lang w:eastAsia="cs-CZ" w:bidi="ar-SA"/>
        </w:rPr>
        <w:t xml:space="preserve"> Rozvoj eGovernmentu a eBusinessu pro zvýšení konkurenceschopnosti</w:t>
      </w:r>
      <w:bookmarkEnd w:id="77"/>
    </w:p>
    <w:tbl>
      <w:tblPr>
        <w:tblStyle w:val="Mkatabulky"/>
        <w:tblW w:w="92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16"/>
        <w:gridCol w:w="3381"/>
      </w:tblGrid>
      <w:tr w:rsidR="00A33BBC" w:rsidRPr="00C06350" w14:paraId="52C775B4" w14:textId="77777777" w:rsidTr="00F10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9" w:type="dxa"/>
          </w:tcPr>
          <w:p w14:paraId="15605781" w14:textId="77777777" w:rsidR="00A33BBC" w:rsidRDefault="00A33BBC" w:rsidP="001B433D">
            <w:pPr>
              <w:spacing w:before="120" w:after="0" w:line="240" w:lineRule="auto"/>
              <w:jc w:val="left"/>
              <w:rPr>
                <w:rFonts w:eastAsia="Times New Roman" w:cs="Calibri"/>
                <w:b/>
                <w:color w:val="000000"/>
                <w:spacing w:val="0"/>
                <w:szCs w:val="22"/>
                <w:lang w:eastAsia="cs-CZ" w:bidi="ar-SA"/>
              </w:rPr>
            </w:pPr>
            <w:r w:rsidRPr="00F370A3">
              <w:rPr>
                <w:noProof/>
                <w:lang w:eastAsia="cs-CZ" w:bidi="ar-SA"/>
              </w:rPr>
              <w:drawing>
                <wp:inline distT="0" distB="0" distL="0" distR="0" wp14:anchorId="3DB2A4A0" wp14:editId="09626DF6">
                  <wp:extent cx="3600000" cy="1745405"/>
                  <wp:effectExtent l="19050" t="0" r="450" b="0"/>
                  <wp:docPr id="10"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a:srcRect/>
                          <a:stretch>
                            <a:fillRect/>
                          </a:stretch>
                        </pic:blipFill>
                        <pic:spPr bwMode="auto">
                          <a:xfrm>
                            <a:off x="0" y="0"/>
                            <a:ext cx="3600000" cy="1745405"/>
                          </a:xfrm>
                          <a:prstGeom prst="rect">
                            <a:avLst/>
                          </a:prstGeom>
                          <a:noFill/>
                          <a:ln w="9525">
                            <a:noFill/>
                            <a:miter lim="800000"/>
                            <a:headEnd/>
                            <a:tailEnd/>
                          </a:ln>
                        </pic:spPr>
                      </pic:pic>
                    </a:graphicData>
                  </a:graphic>
                </wp:inline>
              </w:drawing>
            </w:r>
          </w:p>
        </w:tc>
        <w:tc>
          <w:tcPr>
            <w:tcW w:w="3628" w:type="dxa"/>
            <w:vAlign w:val="top"/>
          </w:tcPr>
          <w:p w14:paraId="2C09AB35" w14:textId="77777777" w:rsidR="00A33BBC" w:rsidRDefault="00A33BBC" w:rsidP="00F10A9D">
            <w:pPr>
              <w:spacing w:before="120" w:after="120"/>
              <w:jc w:val="left"/>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8"/>
                <w:szCs w:val="18"/>
                <w:lang w:bidi="ar-SA"/>
              </w:rPr>
            </w:pPr>
            <w:r w:rsidRPr="00C06350">
              <w:rPr>
                <w:rFonts w:asciiTheme="majorHAnsi" w:hAnsiTheme="majorHAnsi" w:cstheme="majorHAnsi"/>
                <w:sz w:val="18"/>
                <w:szCs w:val="18"/>
                <w:lang w:bidi="ar-SA"/>
              </w:rPr>
              <w:t>Z</w:t>
            </w:r>
            <w:r>
              <w:rPr>
                <w:rFonts w:asciiTheme="majorHAnsi" w:hAnsiTheme="majorHAnsi" w:cstheme="majorHAnsi"/>
                <w:sz w:val="18"/>
                <w:szCs w:val="18"/>
                <w:lang w:bidi="ar-SA"/>
              </w:rPr>
              <w:t>e</w:t>
            </w:r>
            <w:r w:rsidRPr="00C06350">
              <w:rPr>
                <w:rFonts w:asciiTheme="majorHAnsi" w:hAnsiTheme="majorHAnsi" w:cstheme="majorHAnsi"/>
                <w:sz w:val="18"/>
                <w:szCs w:val="18"/>
                <w:lang w:bidi="ar-SA"/>
              </w:rPr>
              <w:t> </w:t>
            </w:r>
            <w:r>
              <w:rPr>
                <w:rFonts w:asciiTheme="majorHAnsi" w:hAnsiTheme="majorHAnsi" w:cstheme="majorHAnsi"/>
                <w:sz w:val="18"/>
                <w:szCs w:val="18"/>
                <w:lang w:bidi="ar-SA"/>
              </w:rPr>
              <w:t>13</w:t>
            </w:r>
            <w:r w:rsidRPr="00C06350">
              <w:rPr>
                <w:rFonts w:asciiTheme="majorHAnsi" w:hAnsiTheme="majorHAnsi" w:cstheme="majorHAnsi"/>
                <w:sz w:val="18"/>
                <w:szCs w:val="18"/>
                <w:lang w:bidi="ar-SA"/>
              </w:rPr>
              <w:t xml:space="preserve"> indikátorů specifických cílů, uvedených v NRIS3 j</w:t>
            </w:r>
            <w:r>
              <w:rPr>
                <w:rFonts w:asciiTheme="majorHAnsi" w:hAnsiTheme="majorHAnsi" w:cstheme="majorHAnsi"/>
                <w:sz w:val="18"/>
                <w:szCs w:val="18"/>
                <w:lang w:bidi="ar-SA"/>
              </w:rPr>
              <w:t>e</w:t>
            </w:r>
            <w:r w:rsidRPr="00C06350">
              <w:rPr>
                <w:rFonts w:asciiTheme="majorHAnsi" w:hAnsiTheme="majorHAnsi" w:cstheme="majorHAnsi"/>
                <w:sz w:val="18"/>
                <w:szCs w:val="18"/>
                <w:lang w:bidi="ar-SA"/>
              </w:rPr>
              <w:t xml:space="preserve"> v operačních programech monitorován</w:t>
            </w:r>
            <w:r>
              <w:rPr>
                <w:rFonts w:asciiTheme="majorHAnsi" w:hAnsiTheme="majorHAnsi" w:cstheme="majorHAnsi"/>
                <w:sz w:val="18"/>
                <w:szCs w:val="18"/>
                <w:lang w:bidi="ar-SA"/>
              </w:rPr>
              <w:t>o</w:t>
            </w:r>
            <w:r w:rsidRPr="00C06350">
              <w:rPr>
                <w:rFonts w:asciiTheme="majorHAnsi" w:hAnsiTheme="majorHAnsi" w:cstheme="majorHAnsi"/>
                <w:sz w:val="18"/>
                <w:szCs w:val="18"/>
                <w:lang w:bidi="ar-SA"/>
              </w:rPr>
              <w:t xml:space="preserve"> </w:t>
            </w:r>
            <w:r>
              <w:rPr>
                <w:rFonts w:asciiTheme="majorHAnsi" w:hAnsiTheme="majorHAnsi" w:cstheme="majorHAnsi"/>
                <w:sz w:val="18"/>
                <w:szCs w:val="18"/>
                <w:lang w:bidi="ar-SA"/>
              </w:rPr>
              <w:t>6 z nich</w:t>
            </w:r>
            <w:r w:rsidRPr="00C06350">
              <w:rPr>
                <w:rFonts w:asciiTheme="majorHAnsi" w:hAnsiTheme="majorHAnsi" w:cstheme="majorHAnsi"/>
                <w:sz w:val="18"/>
                <w:szCs w:val="18"/>
                <w:lang w:bidi="ar-SA"/>
              </w:rPr>
              <w:t xml:space="preserve">. </w:t>
            </w:r>
          </w:p>
          <w:p w14:paraId="09F9E4B4" w14:textId="77777777" w:rsidR="00A33BBC" w:rsidRPr="00C06350" w:rsidRDefault="00A33BBC" w:rsidP="00F10A9D">
            <w:pPr>
              <w:jc w:val="lef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Pr>
                <w:rFonts w:asciiTheme="majorHAnsi" w:hAnsiTheme="majorHAnsi" w:cstheme="majorHAnsi"/>
                <w:sz w:val="18"/>
                <w:szCs w:val="18"/>
                <w:lang w:bidi="ar-SA"/>
              </w:rPr>
              <w:t>U čtyř indikátorů bylo</w:t>
            </w:r>
            <w:r w:rsidRPr="00C06350">
              <w:rPr>
                <w:rFonts w:asciiTheme="majorHAnsi" w:hAnsiTheme="majorHAnsi" w:cstheme="majorHAnsi"/>
                <w:sz w:val="18"/>
                <w:szCs w:val="18"/>
                <w:lang w:bidi="ar-SA"/>
              </w:rPr>
              <w:t xml:space="preserve"> k 10/2018 </w:t>
            </w:r>
            <w:r>
              <w:rPr>
                <w:rFonts w:asciiTheme="majorHAnsi" w:hAnsiTheme="majorHAnsi" w:cstheme="majorHAnsi"/>
                <w:sz w:val="18"/>
                <w:szCs w:val="18"/>
                <w:lang w:bidi="ar-SA"/>
              </w:rPr>
              <w:t xml:space="preserve">již dosaženo </w:t>
            </w:r>
            <w:r w:rsidRPr="00C06350">
              <w:rPr>
                <w:rFonts w:asciiTheme="majorHAnsi" w:hAnsiTheme="majorHAnsi" w:cstheme="majorHAnsi"/>
                <w:sz w:val="18"/>
                <w:szCs w:val="18"/>
                <w:lang w:bidi="ar-SA"/>
              </w:rPr>
              <w:t>cílových hodnot.</w:t>
            </w:r>
            <w:r>
              <w:rPr>
                <w:rFonts w:asciiTheme="majorHAnsi" w:hAnsiTheme="majorHAnsi" w:cstheme="majorHAnsi"/>
                <w:sz w:val="18"/>
                <w:szCs w:val="18"/>
                <w:lang w:bidi="ar-SA"/>
              </w:rPr>
              <w:t xml:space="preserve"> Vzh</w:t>
            </w:r>
            <w:r w:rsidR="00345662">
              <w:rPr>
                <w:rFonts w:asciiTheme="majorHAnsi" w:hAnsiTheme="majorHAnsi" w:cstheme="majorHAnsi"/>
                <w:sz w:val="18"/>
                <w:szCs w:val="18"/>
                <w:lang w:bidi="ar-SA"/>
              </w:rPr>
              <w:t>l</w:t>
            </w:r>
            <w:r>
              <w:rPr>
                <w:rFonts w:asciiTheme="majorHAnsi" w:hAnsiTheme="majorHAnsi" w:cstheme="majorHAnsi"/>
                <w:sz w:val="18"/>
                <w:szCs w:val="18"/>
                <w:lang w:bidi="ar-SA"/>
              </w:rPr>
              <w:t>edem k meziročnímu vývoji je určité riziko, že cílová hodnota indikátoru zaměřeného na zvyšování zaměstnanosti v podpořených podnicích nebude naplněna.</w:t>
            </w:r>
          </w:p>
        </w:tc>
      </w:tr>
    </w:tbl>
    <w:p w14:paraId="48FB4997" w14:textId="77777777" w:rsidR="00A33BBC" w:rsidRPr="001B560C" w:rsidRDefault="00A33BBC" w:rsidP="00A33BBC">
      <w:pPr>
        <w:spacing w:before="0" w:after="0" w:line="240" w:lineRule="auto"/>
        <w:jc w:val="left"/>
        <w:rPr>
          <w:sz w:val="18"/>
          <w:szCs w:val="18"/>
          <w:lang w:bidi="ar-SA"/>
        </w:rPr>
      </w:pPr>
      <w:r w:rsidRPr="001B560C">
        <w:rPr>
          <w:sz w:val="18"/>
          <w:szCs w:val="18"/>
          <w:lang w:bidi="ar-SA"/>
        </w:rPr>
        <w:t xml:space="preserve">Zdroj: </w:t>
      </w:r>
      <w:r>
        <w:rPr>
          <w:sz w:val="18"/>
          <w:szCs w:val="18"/>
          <w:lang w:bidi="ar-SA"/>
        </w:rPr>
        <w:t>monitoring MPO, vlastní zpracování</w:t>
      </w:r>
    </w:p>
    <w:p w14:paraId="6B42FF78" w14:textId="77777777" w:rsidR="00A33BBC" w:rsidRDefault="00A33BBC" w:rsidP="00A33BBC">
      <w:pPr>
        <w:rPr>
          <w:lang w:bidi="ar-SA"/>
        </w:rPr>
      </w:pPr>
    </w:p>
    <w:p w14:paraId="044F81BA" w14:textId="77777777" w:rsidR="00A33BBC" w:rsidRDefault="00A33BBC" w:rsidP="00A33BBC">
      <w:pPr>
        <w:rPr>
          <w:b/>
          <w:u w:val="single"/>
          <w:lang w:bidi="ar-SA"/>
        </w:rPr>
      </w:pPr>
      <w:r w:rsidRPr="00916C7D">
        <w:rPr>
          <w:b/>
          <w:u w:val="single"/>
          <w:lang w:bidi="ar-SA"/>
        </w:rPr>
        <w:t>F</w:t>
      </w:r>
      <w:r w:rsidR="00432A87">
        <w:rPr>
          <w:b/>
          <w:u w:val="single"/>
          <w:lang w:bidi="ar-SA"/>
        </w:rPr>
        <w:t>.</w:t>
      </w:r>
      <w:r w:rsidRPr="00916C7D">
        <w:rPr>
          <w:b/>
          <w:u w:val="single"/>
          <w:lang w:bidi="ar-SA"/>
        </w:rPr>
        <w:t xml:space="preserve"> Posílení a lepší využití sociálního kapitálu a kreativity při řešení komplexních společenských výzev</w:t>
      </w:r>
    </w:p>
    <w:p w14:paraId="79307C08" w14:textId="77777777" w:rsidR="00A33BBC" w:rsidRPr="00F860BD" w:rsidRDefault="00A33BBC" w:rsidP="00A33BBC">
      <w:pPr>
        <w:rPr>
          <w:lang w:bidi="ar-SA"/>
        </w:rPr>
      </w:pPr>
      <w:r>
        <w:rPr>
          <w:lang w:bidi="ar-SA"/>
        </w:rPr>
        <w:t>Indikátorová soustava klíčové oblasti změn zahrnuje pro jednotlivé úrovně tyto indikátory:</w:t>
      </w:r>
    </w:p>
    <w:p w14:paraId="54133957" w14:textId="77777777" w:rsidR="00A33BBC" w:rsidRDefault="00A33BBC" w:rsidP="00D10F0D">
      <w:pPr>
        <w:pStyle w:val="Odstavecseseznamem"/>
        <w:numPr>
          <w:ilvl w:val="0"/>
          <w:numId w:val="18"/>
        </w:numPr>
        <w:rPr>
          <w:lang w:bidi="ar-SA"/>
        </w:rPr>
      </w:pPr>
      <w:r>
        <w:rPr>
          <w:lang w:bidi="ar-SA"/>
        </w:rPr>
        <w:t>klíčová oblast změn a strategické cíle (3 indikátory NČI)</w:t>
      </w:r>
    </w:p>
    <w:p w14:paraId="008B90F5" w14:textId="77777777" w:rsidR="00A33BBC" w:rsidRDefault="00A33BBC" w:rsidP="00D10F0D">
      <w:pPr>
        <w:pStyle w:val="Odstavecseseznamem"/>
        <w:numPr>
          <w:ilvl w:val="0"/>
          <w:numId w:val="18"/>
        </w:numPr>
        <w:rPr>
          <w:lang w:bidi="ar-SA"/>
        </w:rPr>
      </w:pPr>
      <w:r>
        <w:rPr>
          <w:lang w:bidi="ar-SA"/>
        </w:rPr>
        <w:t>specifické cíle (3 indikátory NČI plus 1 mimo NČI)</w:t>
      </w:r>
    </w:p>
    <w:p w14:paraId="0544AC06" w14:textId="77777777" w:rsidR="00A33BBC" w:rsidRDefault="00A33BBC" w:rsidP="00A33BBC">
      <w:pPr>
        <w:spacing w:before="0" w:after="0" w:line="240" w:lineRule="auto"/>
        <w:rPr>
          <w:rFonts w:eastAsia="Times New Roman" w:cs="Calibri"/>
          <w:color w:val="000000"/>
          <w:spacing w:val="0"/>
          <w:szCs w:val="22"/>
          <w:lang w:eastAsia="cs-CZ" w:bidi="ar-SA"/>
        </w:rPr>
      </w:pPr>
      <w:bookmarkStart w:id="78" w:name="_Toc5626502"/>
      <w:r w:rsidRPr="00570F07">
        <w:rPr>
          <w:b/>
          <w:szCs w:val="22"/>
        </w:rPr>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19</w:t>
      </w:r>
      <w:r w:rsidR="008A090D" w:rsidRPr="00570F07">
        <w:rPr>
          <w:b/>
          <w:szCs w:val="22"/>
        </w:rPr>
        <w:fldChar w:fldCharType="end"/>
      </w:r>
      <w:r w:rsidRPr="00570F07">
        <w:rPr>
          <w:b/>
          <w:szCs w:val="22"/>
        </w:rPr>
        <w:t xml:space="preserve"> </w:t>
      </w:r>
      <w:r>
        <w:rPr>
          <w:b/>
          <w:szCs w:val="22"/>
        </w:rPr>
        <w:t>–</w:t>
      </w:r>
      <w:r w:rsidRPr="00570F07">
        <w:rPr>
          <w:b/>
          <w:szCs w:val="22"/>
        </w:rPr>
        <w:t xml:space="preserve"> </w:t>
      </w:r>
      <w:r w:rsidRPr="00F860BD">
        <w:rPr>
          <w:rFonts w:eastAsia="Times New Roman" w:cs="Calibri"/>
          <w:color w:val="000000"/>
          <w:spacing w:val="0"/>
          <w:szCs w:val="22"/>
          <w:lang w:eastAsia="cs-CZ" w:bidi="ar-SA"/>
        </w:rPr>
        <w:t xml:space="preserve">Indikátory specifických cílů </w:t>
      </w:r>
      <w:r w:rsidR="00432A87">
        <w:rPr>
          <w:rFonts w:eastAsia="Times New Roman" w:cs="Calibri"/>
          <w:color w:val="000000"/>
          <w:spacing w:val="0"/>
          <w:szCs w:val="22"/>
          <w:lang w:eastAsia="cs-CZ" w:bidi="ar-SA"/>
        </w:rPr>
        <w:t>klíčové oblasti změny</w:t>
      </w:r>
      <w:r w:rsidRPr="00F860BD">
        <w:rPr>
          <w:rFonts w:eastAsia="Times New Roman" w:cs="Calibri"/>
          <w:color w:val="000000"/>
          <w:spacing w:val="0"/>
          <w:szCs w:val="22"/>
          <w:lang w:eastAsia="cs-CZ" w:bidi="ar-SA"/>
        </w:rPr>
        <w:t xml:space="preserve"> </w:t>
      </w:r>
      <w:r w:rsidRPr="005C3144">
        <w:rPr>
          <w:rFonts w:eastAsia="Times New Roman" w:cs="Calibri"/>
          <w:color w:val="000000"/>
          <w:spacing w:val="0"/>
          <w:szCs w:val="22"/>
          <w:lang w:eastAsia="cs-CZ" w:bidi="ar-SA"/>
        </w:rPr>
        <w:t>F</w:t>
      </w:r>
      <w:r w:rsidR="00432A87">
        <w:rPr>
          <w:rFonts w:eastAsia="Times New Roman" w:cs="Calibri"/>
          <w:color w:val="000000"/>
          <w:spacing w:val="0"/>
          <w:szCs w:val="22"/>
          <w:lang w:eastAsia="cs-CZ" w:bidi="ar-SA"/>
        </w:rPr>
        <w:t>.</w:t>
      </w:r>
      <w:r w:rsidRPr="005C3144">
        <w:rPr>
          <w:rFonts w:eastAsia="Times New Roman" w:cs="Calibri"/>
          <w:color w:val="000000"/>
          <w:spacing w:val="0"/>
          <w:szCs w:val="22"/>
          <w:lang w:eastAsia="cs-CZ" w:bidi="ar-SA"/>
        </w:rPr>
        <w:t xml:space="preserve"> Posílení a lepší využití sociálního kapitálu a kreativity při řešení komplexních společenských výzev</w:t>
      </w:r>
      <w:bookmarkEnd w:id="78"/>
    </w:p>
    <w:tbl>
      <w:tblPr>
        <w:tblStyle w:val="Mkatabulky"/>
        <w:tblW w:w="92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16"/>
        <w:gridCol w:w="3381"/>
      </w:tblGrid>
      <w:tr w:rsidR="00A33BBC" w:rsidRPr="00C06350" w14:paraId="5EAB0D98" w14:textId="77777777" w:rsidTr="00F10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16" w:type="dxa"/>
            <w:vAlign w:val="bottom"/>
          </w:tcPr>
          <w:p w14:paraId="36880B51" w14:textId="77777777" w:rsidR="00A33BBC" w:rsidRDefault="00A33BBC" w:rsidP="001B433D">
            <w:pPr>
              <w:spacing w:before="120" w:after="0" w:line="240" w:lineRule="auto"/>
              <w:jc w:val="left"/>
              <w:rPr>
                <w:rFonts w:eastAsia="Times New Roman" w:cs="Calibri"/>
                <w:b/>
                <w:color w:val="000000"/>
                <w:spacing w:val="0"/>
                <w:szCs w:val="22"/>
                <w:lang w:eastAsia="cs-CZ" w:bidi="ar-SA"/>
              </w:rPr>
            </w:pPr>
            <w:r w:rsidRPr="00F370A3">
              <w:rPr>
                <w:noProof/>
                <w:lang w:eastAsia="cs-CZ" w:bidi="ar-SA"/>
              </w:rPr>
              <w:drawing>
                <wp:inline distT="0" distB="0" distL="0" distR="0" wp14:anchorId="2021360F" wp14:editId="3523A010">
                  <wp:extent cx="3600000" cy="1145727"/>
                  <wp:effectExtent l="19050" t="0" r="450" b="0"/>
                  <wp:docPr id="11"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a:srcRect/>
                          <a:stretch>
                            <a:fillRect/>
                          </a:stretch>
                        </pic:blipFill>
                        <pic:spPr bwMode="auto">
                          <a:xfrm>
                            <a:off x="0" y="0"/>
                            <a:ext cx="3600000" cy="1145727"/>
                          </a:xfrm>
                          <a:prstGeom prst="rect">
                            <a:avLst/>
                          </a:prstGeom>
                          <a:noFill/>
                          <a:ln w="9525">
                            <a:noFill/>
                            <a:miter lim="800000"/>
                            <a:headEnd/>
                            <a:tailEnd/>
                          </a:ln>
                        </pic:spPr>
                      </pic:pic>
                    </a:graphicData>
                  </a:graphic>
                </wp:inline>
              </w:drawing>
            </w:r>
          </w:p>
          <w:p w14:paraId="1C26FD0D" w14:textId="77777777" w:rsidR="00A33BBC" w:rsidRPr="004279E9" w:rsidRDefault="00A33BBC" w:rsidP="00F10A9D">
            <w:pPr>
              <w:spacing w:before="0" w:after="0" w:line="240" w:lineRule="auto"/>
              <w:jc w:val="left"/>
              <w:rPr>
                <w:rFonts w:asciiTheme="majorHAnsi" w:hAnsiTheme="majorHAnsi" w:cstheme="majorHAnsi"/>
                <w:sz w:val="18"/>
                <w:szCs w:val="18"/>
                <w:lang w:bidi="ar-SA"/>
              </w:rPr>
            </w:pPr>
            <w:r w:rsidRPr="004279E9">
              <w:rPr>
                <w:rFonts w:asciiTheme="majorHAnsi" w:hAnsiTheme="majorHAnsi" w:cstheme="majorHAnsi"/>
                <w:sz w:val="18"/>
                <w:szCs w:val="18"/>
                <w:lang w:bidi="ar-SA"/>
              </w:rPr>
              <w:t>Zdroj: monitoring MPO, vlastní zpracování</w:t>
            </w:r>
          </w:p>
          <w:p w14:paraId="1EC68F0D" w14:textId="77777777" w:rsidR="00A33BBC" w:rsidRDefault="00A33BBC" w:rsidP="00F10A9D">
            <w:pPr>
              <w:spacing w:before="0" w:after="0" w:line="240" w:lineRule="auto"/>
              <w:jc w:val="left"/>
              <w:rPr>
                <w:rFonts w:eastAsia="Times New Roman" w:cs="Calibri"/>
                <w:b/>
                <w:color w:val="000000"/>
                <w:spacing w:val="0"/>
                <w:szCs w:val="22"/>
                <w:lang w:eastAsia="cs-CZ" w:bidi="ar-SA"/>
              </w:rPr>
            </w:pPr>
          </w:p>
        </w:tc>
        <w:tc>
          <w:tcPr>
            <w:tcW w:w="3381" w:type="dxa"/>
            <w:vAlign w:val="top"/>
          </w:tcPr>
          <w:p w14:paraId="426AA975" w14:textId="77777777" w:rsidR="00A33BBC" w:rsidRDefault="00A33BBC" w:rsidP="00F10A9D">
            <w:pPr>
              <w:spacing w:before="0" w:after="120"/>
              <w:jc w:val="left"/>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8"/>
                <w:szCs w:val="18"/>
                <w:lang w:bidi="ar-SA"/>
              </w:rPr>
            </w:pPr>
            <w:r w:rsidRPr="00C06350">
              <w:rPr>
                <w:rFonts w:asciiTheme="majorHAnsi" w:hAnsiTheme="majorHAnsi" w:cstheme="majorHAnsi"/>
                <w:sz w:val="18"/>
                <w:szCs w:val="18"/>
                <w:lang w:bidi="ar-SA"/>
              </w:rPr>
              <w:t>Z</w:t>
            </w:r>
            <w:r>
              <w:rPr>
                <w:rFonts w:asciiTheme="majorHAnsi" w:hAnsiTheme="majorHAnsi" w:cstheme="majorHAnsi"/>
                <w:sz w:val="18"/>
                <w:szCs w:val="18"/>
                <w:lang w:bidi="ar-SA"/>
              </w:rPr>
              <w:t>e</w:t>
            </w:r>
            <w:r w:rsidRPr="00C06350">
              <w:rPr>
                <w:rFonts w:asciiTheme="majorHAnsi" w:hAnsiTheme="majorHAnsi" w:cstheme="majorHAnsi"/>
                <w:sz w:val="18"/>
                <w:szCs w:val="18"/>
                <w:lang w:bidi="ar-SA"/>
              </w:rPr>
              <w:t> </w:t>
            </w:r>
            <w:r>
              <w:rPr>
                <w:rFonts w:asciiTheme="majorHAnsi" w:hAnsiTheme="majorHAnsi" w:cstheme="majorHAnsi"/>
                <w:sz w:val="18"/>
                <w:szCs w:val="18"/>
                <w:lang w:bidi="ar-SA"/>
              </w:rPr>
              <w:t>čtyř</w:t>
            </w:r>
            <w:r w:rsidRPr="00C06350">
              <w:rPr>
                <w:rFonts w:asciiTheme="majorHAnsi" w:hAnsiTheme="majorHAnsi" w:cstheme="majorHAnsi"/>
                <w:sz w:val="18"/>
                <w:szCs w:val="18"/>
                <w:lang w:bidi="ar-SA"/>
              </w:rPr>
              <w:t xml:space="preserve"> indikátorů specifických cílů, uvedených v NRIS3 j</w:t>
            </w:r>
            <w:r>
              <w:rPr>
                <w:rFonts w:asciiTheme="majorHAnsi" w:hAnsiTheme="majorHAnsi" w:cstheme="majorHAnsi"/>
                <w:sz w:val="18"/>
                <w:szCs w:val="18"/>
                <w:lang w:bidi="ar-SA"/>
              </w:rPr>
              <w:t>sou</w:t>
            </w:r>
            <w:r w:rsidRPr="00C06350">
              <w:rPr>
                <w:rFonts w:asciiTheme="majorHAnsi" w:hAnsiTheme="majorHAnsi" w:cstheme="majorHAnsi"/>
                <w:sz w:val="18"/>
                <w:szCs w:val="18"/>
                <w:lang w:bidi="ar-SA"/>
              </w:rPr>
              <w:t xml:space="preserve"> v operačních programech monitorován</w:t>
            </w:r>
            <w:r>
              <w:rPr>
                <w:rFonts w:asciiTheme="majorHAnsi" w:hAnsiTheme="majorHAnsi" w:cstheme="majorHAnsi"/>
                <w:sz w:val="18"/>
                <w:szCs w:val="18"/>
                <w:lang w:bidi="ar-SA"/>
              </w:rPr>
              <w:t>y</w:t>
            </w:r>
            <w:r w:rsidRPr="00C06350">
              <w:rPr>
                <w:rFonts w:asciiTheme="majorHAnsi" w:hAnsiTheme="majorHAnsi" w:cstheme="majorHAnsi"/>
                <w:sz w:val="18"/>
                <w:szCs w:val="18"/>
                <w:lang w:bidi="ar-SA"/>
              </w:rPr>
              <w:t xml:space="preserve"> </w:t>
            </w:r>
            <w:r>
              <w:rPr>
                <w:rFonts w:asciiTheme="majorHAnsi" w:hAnsiTheme="majorHAnsi" w:cstheme="majorHAnsi"/>
                <w:sz w:val="18"/>
                <w:szCs w:val="18"/>
                <w:lang w:bidi="ar-SA"/>
              </w:rPr>
              <w:t>tři z nich</w:t>
            </w:r>
            <w:r w:rsidRPr="00C06350">
              <w:rPr>
                <w:rFonts w:asciiTheme="majorHAnsi" w:hAnsiTheme="majorHAnsi" w:cstheme="majorHAnsi"/>
                <w:sz w:val="18"/>
                <w:szCs w:val="18"/>
                <w:lang w:bidi="ar-SA"/>
              </w:rPr>
              <w:t xml:space="preserve">. </w:t>
            </w:r>
          </w:p>
          <w:p w14:paraId="10F3CF23" w14:textId="77777777" w:rsidR="00A33BBC" w:rsidRDefault="00A33BBC" w:rsidP="00F10A9D">
            <w:pPr>
              <w:spacing w:before="120" w:after="120"/>
              <w:jc w:val="lef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Pr>
                <w:rFonts w:asciiTheme="majorHAnsi" w:eastAsia="Times New Roman" w:hAnsiTheme="majorHAnsi" w:cstheme="majorHAnsi"/>
                <w:color w:val="000000"/>
                <w:spacing w:val="0"/>
                <w:sz w:val="18"/>
                <w:szCs w:val="18"/>
                <w:lang w:eastAsia="cs-CZ" w:bidi="ar-SA"/>
              </w:rPr>
              <w:t xml:space="preserve">Dva indikátory z OP VVV jsou k 10/2018 výrazně přeplněny. Jeden se týká specifického cíle </w:t>
            </w:r>
            <w:r w:rsidRPr="00E2406D">
              <w:rPr>
                <w:rFonts w:asciiTheme="majorHAnsi" w:eastAsia="Times New Roman" w:hAnsiTheme="majorHAnsi" w:cstheme="majorHAnsi"/>
                <w:color w:val="000000"/>
                <w:spacing w:val="0"/>
                <w:sz w:val="18"/>
                <w:szCs w:val="18"/>
                <w:lang w:eastAsia="cs-CZ" w:bidi="ar-SA"/>
              </w:rPr>
              <w:t>F.1.1 – Spolupráce při řešení společenských výzev</w:t>
            </w:r>
            <w:r>
              <w:rPr>
                <w:rFonts w:asciiTheme="majorHAnsi" w:eastAsia="Times New Roman" w:hAnsiTheme="majorHAnsi" w:cstheme="majorHAnsi"/>
                <w:color w:val="000000"/>
                <w:spacing w:val="0"/>
                <w:sz w:val="18"/>
                <w:szCs w:val="18"/>
                <w:lang w:eastAsia="cs-CZ" w:bidi="ar-SA"/>
              </w:rPr>
              <w:t xml:space="preserve"> a druhý specifického cíle </w:t>
            </w:r>
            <w:r w:rsidRPr="00E2406D">
              <w:rPr>
                <w:rFonts w:asciiTheme="majorHAnsi" w:eastAsia="Times New Roman" w:hAnsiTheme="majorHAnsi" w:cstheme="majorHAnsi"/>
                <w:color w:val="000000"/>
                <w:spacing w:val="0"/>
                <w:sz w:val="18"/>
                <w:szCs w:val="18"/>
                <w:lang w:eastAsia="cs-CZ" w:bidi="ar-SA"/>
              </w:rPr>
              <w:t>F.2.1 – Spolupráce při řešení zaměstnanosti a sociální inkluze</w:t>
            </w:r>
            <w:r>
              <w:rPr>
                <w:rFonts w:asciiTheme="majorHAnsi" w:eastAsia="Times New Roman" w:hAnsiTheme="majorHAnsi" w:cstheme="majorHAnsi"/>
                <w:color w:val="000000"/>
                <w:spacing w:val="0"/>
                <w:sz w:val="18"/>
                <w:szCs w:val="18"/>
                <w:lang w:eastAsia="cs-CZ" w:bidi="ar-SA"/>
              </w:rPr>
              <w:t>.</w:t>
            </w:r>
          </w:p>
          <w:p w14:paraId="745E3F30" w14:textId="77777777" w:rsidR="00A33BBC" w:rsidRPr="00C06350" w:rsidRDefault="00A33BBC" w:rsidP="00F10A9D">
            <w:pPr>
              <w:spacing w:before="120" w:after="0"/>
              <w:jc w:val="lef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Pr>
                <w:rFonts w:asciiTheme="majorHAnsi" w:eastAsia="Times New Roman" w:hAnsiTheme="majorHAnsi" w:cstheme="majorHAnsi"/>
                <w:color w:val="000000"/>
                <w:spacing w:val="0"/>
                <w:sz w:val="18"/>
                <w:szCs w:val="18"/>
                <w:lang w:eastAsia="cs-CZ" w:bidi="ar-SA"/>
              </w:rPr>
              <w:t>Třetí sledovaný indikátor (OP Z), který se také týká řešení společenských výzev byl zjevně nastaven chybně a dosažení cílových hodnot je nereálné.</w:t>
            </w:r>
          </w:p>
        </w:tc>
      </w:tr>
    </w:tbl>
    <w:p w14:paraId="6335757B" w14:textId="77777777" w:rsidR="00A33BBC" w:rsidRPr="00023C75" w:rsidRDefault="00605061" w:rsidP="00A33BBC">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bookmarkStart w:id="79" w:name="_Toc5626464"/>
      <w:r>
        <w:rPr>
          <w:rFonts w:asciiTheme="majorHAnsi" w:eastAsiaTheme="majorEastAsia" w:hAnsiTheme="majorHAnsi" w:cstheme="majorHAnsi"/>
          <w:i/>
          <w:caps/>
          <w:color w:val="004B8D"/>
          <w:spacing w:val="0"/>
          <w:sz w:val="22"/>
          <w:lang w:bidi="ar-SA"/>
        </w:rPr>
        <w:lastRenderedPageBreak/>
        <w:t xml:space="preserve">4.2.3 </w:t>
      </w:r>
      <w:r w:rsidR="00A33BBC">
        <w:rPr>
          <w:rFonts w:asciiTheme="majorHAnsi" w:eastAsiaTheme="majorEastAsia" w:hAnsiTheme="majorHAnsi" w:cstheme="majorHAnsi"/>
          <w:i/>
          <w:caps/>
          <w:color w:val="004B8D"/>
          <w:spacing w:val="0"/>
          <w:sz w:val="22"/>
          <w:lang w:bidi="ar-SA"/>
        </w:rPr>
        <w:t>INDIKÁTORY SPECIFICKÝCH CÍLŮ V NÁRODNÍCH PROGRAMECH PODPORY</w:t>
      </w:r>
      <w:bookmarkEnd w:id="79"/>
    </w:p>
    <w:p w14:paraId="14E8D3CA" w14:textId="77777777" w:rsidR="00A33BBC" w:rsidRDefault="00A33BBC" w:rsidP="00A33BBC">
      <w:pPr>
        <w:rPr>
          <w:lang w:bidi="ar-SA"/>
        </w:rPr>
      </w:pPr>
      <w:r>
        <w:rPr>
          <w:lang w:bidi="ar-SA"/>
        </w:rPr>
        <w:t>Sledované indikátory v národních programech podpory nerozlišují, ke kterému ze specifických cílů Národní RIS3 strategie se vztahují a u sledovaných indikátorů jsou většinou uváděny všechny dotčené specifické cíle.</w:t>
      </w:r>
    </w:p>
    <w:p w14:paraId="4311B9A2" w14:textId="77777777" w:rsidR="00A33BBC" w:rsidRPr="00C149A9" w:rsidRDefault="00A33BBC" w:rsidP="00A33BBC">
      <w:pPr>
        <w:rPr>
          <w:b/>
          <w:u w:val="single"/>
          <w:lang w:bidi="ar-SA"/>
        </w:rPr>
      </w:pPr>
      <w:r w:rsidRPr="00C149A9">
        <w:rPr>
          <w:b/>
          <w:u w:val="single"/>
          <w:lang w:bidi="ar-SA"/>
        </w:rPr>
        <w:t>Centra excelence (TA</w:t>
      </w:r>
      <w:r w:rsidR="00432A87">
        <w:rPr>
          <w:b/>
          <w:u w:val="single"/>
          <w:lang w:bidi="ar-SA"/>
        </w:rPr>
        <w:t xml:space="preserve"> </w:t>
      </w:r>
      <w:r w:rsidRPr="00C149A9">
        <w:rPr>
          <w:b/>
          <w:u w:val="single"/>
          <w:lang w:bidi="ar-SA"/>
        </w:rPr>
        <w:t>ČR)</w:t>
      </w:r>
    </w:p>
    <w:p w14:paraId="1A0B601C" w14:textId="77777777" w:rsidR="00A33BBC" w:rsidRDefault="00A33BBC" w:rsidP="00A33BBC">
      <w:pPr>
        <w:rPr>
          <w:lang w:bidi="ar-SA"/>
        </w:rPr>
      </w:pPr>
      <w:r>
        <w:rPr>
          <w:lang w:bidi="ar-SA"/>
        </w:rPr>
        <w:t xml:space="preserve">Podíl </w:t>
      </w:r>
      <w:r w:rsidR="008F7AB0">
        <w:rPr>
          <w:lang w:bidi="ar-SA"/>
        </w:rPr>
        <w:t xml:space="preserve">programu </w:t>
      </w:r>
      <w:r w:rsidR="00780DF8">
        <w:rPr>
          <w:lang w:bidi="ar-SA"/>
        </w:rPr>
        <w:t>p</w:t>
      </w:r>
      <w:r>
        <w:rPr>
          <w:lang w:bidi="ar-SA"/>
        </w:rPr>
        <w:t xml:space="preserve">ři naplňování </w:t>
      </w:r>
      <w:r w:rsidR="00432A87">
        <w:rPr>
          <w:lang w:bidi="ar-SA"/>
        </w:rPr>
        <w:t xml:space="preserve">Národní </w:t>
      </w:r>
      <w:r>
        <w:rPr>
          <w:lang w:bidi="ar-SA"/>
        </w:rPr>
        <w:t xml:space="preserve">RIS3 </w:t>
      </w:r>
      <w:r w:rsidR="00432A87">
        <w:rPr>
          <w:lang w:bidi="ar-SA"/>
        </w:rPr>
        <w:t xml:space="preserve">strategie </w:t>
      </w:r>
      <w:r>
        <w:rPr>
          <w:lang w:bidi="ar-SA"/>
        </w:rPr>
        <w:t xml:space="preserve">(rozsah </w:t>
      </w:r>
      <w:r w:rsidR="008F7AB0">
        <w:rPr>
          <w:lang w:bidi="ar-SA"/>
        </w:rPr>
        <w:t>podřízenosti) je stanoven na úrovni 50 %. Sledované</w:t>
      </w:r>
      <w:r>
        <w:rPr>
          <w:lang w:bidi="ar-SA"/>
        </w:rPr>
        <w:t xml:space="preserve"> indikátory </w:t>
      </w:r>
      <w:r w:rsidR="008F7AB0">
        <w:rPr>
          <w:lang w:bidi="ar-SA"/>
        </w:rPr>
        <w:t>přispívají k naplnění všech níže uvedených speci</w:t>
      </w:r>
      <w:r>
        <w:rPr>
          <w:lang w:bidi="ar-SA"/>
        </w:rPr>
        <w:t>fických cílů Národní RIS3 strategie</w:t>
      </w:r>
      <w:r w:rsidR="00780DF8">
        <w:rPr>
          <w:lang w:bidi="ar-SA"/>
        </w:rPr>
        <w:t xml:space="preserve"> souhrnně</w:t>
      </w:r>
      <w:r w:rsidR="008F7AB0">
        <w:rPr>
          <w:lang w:bidi="ar-SA"/>
        </w:rPr>
        <w:t>, přičemž poměr jejich příspěvku (vah) k jednotlivým specifickým cílům je uveden v závorce.</w:t>
      </w:r>
    </w:p>
    <w:p w14:paraId="4172C6FF" w14:textId="77777777" w:rsidR="00A33BBC" w:rsidRDefault="00A33BBC" w:rsidP="00A33BBC">
      <w:pPr>
        <w:contextualSpacing/>
        <w:rPr>
          <w:lang w:bidi="ar-SA"/>
        </w:rPr>
      </w:pPr>
      <w:r>
        <w:rPr>
          <w:lang w:bidi="ar-SA"/>
        </w:rPr>
        <w:t>A.1.1: Posílit výzkumné a vývojové kapacity podniků (10</w:t>
      </w:r>
      <w:r w:rsidR="008F7AB0">
        <w:rPr>
          <w:lang w:bidi="ar-SA"/>
        </w:rPr>
        <w:t xml:space="preserve"> </w:t>
      </w:r>
      <w:r>
        <w:rPr>
          <w:lang w:bidi="ar-SA"/>
        </w:rPr>
        <w:t>%)</w:t>
      </w:r>
    </w:p>
    <w:p w14:paraId="6B4900A5" w14:textId="77777777" w:rsidR="00A33BBC" w:rsidRDefault="00A33BBC" w:rsidP="00A33BBC">
      <w:pPr>
        <w:contextualSpacing/>
        <w:rPr>
          <w:lang w:bidi="ar-SA"/>
        </w:rPr>
      </w:pPr>
      <w:r>
        <w:rPr>
          <w:lang w:bidi="ar-SA"/>
        </w:rPr>
        <w:t>A.1.3: Posílit technologickou spolupráci firem (15</w:t>
      </w:r>
      <w:r w:rsidR="008F7AB0">
        <w:rPr>
          <w:lang w:bidi="ar-SA"/>
        </w:rPr>
        <w:t xml:space="preserve"> </w:t>
      </w:r>
      <w:r>
        <w:rPr>
          <w:lang w:bidi="ar-SA"/>
        </w:rPr>
        <w:t>%)</w:t>
      </w:r>
    </w:p>
    <w:p w14:paraId="6AAABC3D" w14:textId="77777777" w:rsidR="00A33BBC" w:rsidRDefault="00A33BBC" w:rsidP="00A33BBC">
      <w:pPr>
        <w:contextualSpacing/>
        <w:rPr>
          <w:lang w:bidi="ar-SA"/>
        </w:rPr>
      </w:pPr>
      <w:r>
        <w:rPr>
          <w:lang w:bidi="ar-SA"/>
        </w:rPr>
        <w:t>B.1.1: Zajistit stabilní podmínky pro dlouhodobý rozvoj kvalitních výzkumných pracovišť (10</w:t>
      </w:r>
      <w:r w:rsidR="008F7AB0">
        <w:rPr>
          <w:lang w:bidi="ar-SA"/>
        </w:rPr>
        <w:t xml:space="preserve"> </w:t>
      </w:r>
      <w:r>
        <w:rPr>
          <w:lang w:bidi="ar-SA"/>
        </w:rPr>
        <w:t>%)</w:t>
      </w:r>
    </w:p>
    <w:p w14:paraId="33046B91" w14:textId="77777777" w:rsidR="00A33BBC" w:rsidRDefault="00A33BBC" w:rsidP="00A33BBC">
      <w:pPr>
        <w:contextualSpacing/>
        <w:rPr>
          <w:lang w:bidi="ar-SA"/>
        </w:rPr>
      </w:pPr>
      <w:r>
        <w:rPr>
          <w:lang w:bidi="ar-SA"/>
        </w:rPr>
        <w:t>C.1.1: Posílit spolupráci a interakci mezi VO a aplikační sférou (30</w:t>
      </w:r>
      <w:r w:rsidR="008F7AB0">
        <w:rPr>
          <w:lang w:bidi="ar-SA"/>
        </w:rPr>
        <w:t xml:space="preserve"> </w:t>
      </w:r>
      <w:r>
        <w:rPr>
          <w:lang w:bidi="ar-SA"/>
        </w:rPr>
        <w:t>%)</w:t>
      </w:r>
    </w:p>
    <w:p w14:paraId="4B9F79BC" w14:textId="77777777" w:rsidR="00A33BBC" w:rsidRDefault="00A33BBC" w:rsidP="00A33BBC">
      <w:pPr>
        <w:contextualSpacing/>
        <w:rPr>
          <w:lang w:bidi="ar-SA"/>
        </w:rPr>
      </w:pPr>
      <w:r>
        <w:rPr>
          <w:lang w:bidi="ar-SA"/>
        </w:rPr>
        <w:t>C.1.2: Zvýšit komerční využití výsledků VaV a znalostí VO (25</w:t>
      </w:r>
      <w:r w:rsidR="008F7AB0">
        <w:rPr>
          <w:lang w:bidi="ar-SA"/>
        </w:rPr>
        <w:t xml:space="preserve"> </w:t>
      </w:r>
      <w:r>
        <w:rPr>
          <w:lang w:bidi="ar-SA"/>
        </w:rPr>
        <w:t>%)</w:t>
      </w:r>
    </w:p>
    <w:p w14:paraId="400DF5E4" w14:textId="77777777" w:rsidR="00A33BBC" w:rsidRDefault="00A33BBC" w:rsidP="00A33BBC">
      <w:pPr>
        <w:contextualSpacing/>
        <w:rPr>
          <w:lang w:bidi="ar-SA"/>
        </w:rPr>
      </w:pPr>
      <w:r>
        <w:rPr>
          <w:lang w:bidi="ar-SA"/>
        </w:rPr>
        <w:t>D.1.1: Vytvořit funkční vztah mezi školami a zaměstnavateli (5</w:t>
      </w:r>
      <w:r w:rsidR="008F7AB0">
        <w:rPr>
          <w:lang w:bidi="ar-SA"/>
        </w:rPr>
        <w:t xml:space="preserve"> </w:t>
      </w:r>
      <w:r>
        <w:rPr>
          <w:lang w:bidi="ar-SA"/>
        </w:rPr>
        <w:t>%)</w:t>
      </w:r>
    </w:p>
    <w:p w14:paraId="729F0870" w14:textId="77777777" w:rsidR="00A33BBC" w:rsidRDefault="00A33BBC" w:rsidP="00A33BBC">
      <w:pPr>
        <w:contextualSpacing/>
        <w:rPr>
          <w:lang w:bidi="ar-SA"/>
        </w:rPr>
      </w:pPr>
      <w:r>
        <w:rPr>
          <w:lang w:bidi="ar-SA"/>
        </w:rPr>
        <w:t xml:space="preserve">D.3.3: Zvýšit atraktivitu výzkumné kariéry a kvalitu přípravy </w:t>
      </w:r>
      <w:r w:rsidR="008F7AB0">
        <w:rPr>
          <w:lang w:bidi="ar-SA"/>
        </w:rPr>
        <w:t>budoucích výzkumných pracovníků</w:t>
      </w:r>
      <w:r w:rsidR="008F7AB0">
        <w:rPr>
          <w:lang w:bidi="ar-SA"/>
        </w:rPr>
        <w:br/>
      </w:r>
      <w:r>
        <w:rPr>
          <w:lang w:bidi="ar-SA"/>
        </w:rPr>
        <w:t>(5</w:t>
      </w:r>
      <w:r w:rsidR="008F7AB0">
        <w:rPr>
          <w:lang w:bidi="ar-SA"/>
        </w:rPr>
        <w:t xml:space="preserve"> </w:t>
      </w:r>
      <w:r>
        <w:rPr>
          <w:lang w:bidi="ar-SA"/>
        </w:rPr>
        <w:t>%)</w:t>
      </w:r>
    </w:p>
    <w:p w14:paraId="5A139E02" w14:textId="77777777" w:rsidR="00A33BBC" w:rsidRDefault="00A33BBC" w:rsidP="00A33BBC">
      <w:pPr>
        <w:contextualSpacing/>
        <w:rPr>
          <w:lang w:bidi="ar-SA"/>
        </w:rPr>
      </w:pPr>
    </w:p>
    <w:p w14:paraId="3DA18D2A" w14:textId="77777777" w:rsidR="00A33BBC" w:rsidRDefault="00A33BBC" w:rsidP="00A33BBC">
      <w:pPr>
        <w:spacing w:before="0" w:after="0" w:line="240" w:lineRule="auto"/>
        <w:rPr>
          <w:rFonts w:eastAsia="Times New Roman" w:cs="Calibri"/>
          <w:color w:val="000000"/>
          <w:spacing w:val="0"/>
          <w:szCs w:val="22"/>
          <w:lang w:eastAsia="cs-CZ" w:bidi="ar-SA"/>
        </w:rPr>
      </w:pPr>
      <w:bookmarkStart w:id="80" w:name="_Toc5626503"/>
      <w:r w:rsidRPr="00570F07">
        <w:rPr>
          <w:b/>
          <w:szCs w:val="22"/>
        </w:rPr>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20</w:t>
      </w:r>
      <w:r w:rsidR="008A090D" w:rsidRPr="00570F07">
        <w:rPr>
          <w:b/>
          <w:szCs w:val="22"/>
        </w:rPr>
        <w:fldChar w:fldCharType="end"/>
      </w:r>
      <w:r w:rsidRPr="00570F07">
        <w:rPr>
          <w:b/>
          <w:szCs w:val="22"/>
        </w:rPr>
        <w:t xml:space="preserve"> </w:t>
      </w:r>
      <w:r>
        <w:rPr>
          <w:b/>
          <w:szCs w:val="22"/>
        </w:rPr>
        <w:t>–</w:t>
      </w:r>
      <w:r w:rsidRPr="00570F07">
        <w:rPr>
          <w:b/>
          <w:szCs w:val="22"/>
        </w:rPr>
        <w:t xml:space="preserve"> </w:t>
      </w:r>
      <w:r w:rsidRPr="00F860BD">
        <w:rPr>
          <w:rFonts w:eastAsia="Times New Roman" w:cs="Calibri"/>
          <w:color w:val="000000"/>
          <w:spacing w:val="0"/>
          <w:szCs w:val="22"/>
          <w:lang w:eastAsia="cs-CZ" w:bidi="ar-SA"/>
        </w:rPr>
        <w:t xml:space="preserve">Indikátory specifických cílů </w:t>
      </w:r>
      <w:r>
        <w:rPr>
          <w:rFonts w:eastAsia="Times New Roman" w:cs="Calibri"/>
          <w:color w:val="000000"/>
          <w:spacing w:val="0"/>
          <w:szCs w:val="22"/>
          <w:lang w:eastAsia="cs-CZ" w:bidi="ar-SA"/>
        </w:rPr>
        <w:t xml:space="preserve">v programu </w:t>
      </w:r>
      <w:r w:rsidRPr="00EF18D4">
        <w:rPr>
          <w:rFonts w:eastAsia="Times New Roman" w:cs="Calibri"/>
          <w:color w:val="000000"/>
          <w:spacing w:val="0"/>
          <w:szCs w:val="22"/>
          <w:lang w:eastAsia="cs-CZ" w:bidi="ar-SA"/>
        </w:rPr>
        <w:t>Centra excelence</w:t>
      </w:r>
      <w:bookmarkEnd w:id="80"/>
    </w:p>
    <w:p w14:paraId="79B1674F" w14:textId="77777777" w:rsidR="00A33BBC" w:rsidRDefault="00A33BBC" w:rsidP="00A33BBC">
      <w:pPr>
        <w:contextualSpacing/>
        <w:rPr>
          <w:lang w:bidi="ar-SA"/>
        </w:rPr>
      </w:pPr>
    </w:p>
    <w:tbl>
      <w:tblPr>
        <w:tblStyle w:val="Mkatabulky"/>
        <w:tblW w:w="92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16"/>
        <w:gridCol w:w="3381"/>
      </w:tblGrid>
      <w:tr w:rsidR="00A33BBC" w:rsidRPr="00C06350" w14:paraId="26A22B5A" w14:textId="77777777" w:rsidTr="00F10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9" w:type="dxa"/>
          </w:tcPr>
          <w:p w14:paraId="25D546D9" w14:textId="77777777" w:rsidR="00A33BBC" w:rsidRDefault="00A33BBC" w:rsidP="00AA2EC2">
            <w:pPr>
              <w:spacing w:before="0" w:after="120" w:line="240" w:lineRule="auto"/>
              <w:jc w:val="left"/>
              <w:rPr>
                <w:rFonts w:eastAsia="Times New Roman" w:cs="Calibri"/>
                <w:b/>
                <w:color w:val="000000"/>
                <w:spacing w:val="0"/>
                <w:szCs w:val="22"/>
                <w:lang w:eastAsia="cs-CZ" w:bidi="ar-SA"/>
              </w:rPr>
            </w:pPr>
            <w:r w:rsidRPr="000C5327">
              <w:rPr>
                <w:noProof/>
                <w:lang w:eastAsia="cs-CZ" w:bidi="ar-SA"/>
              </w:rPr>
              <w:drawing>
                <wp:inline distT="0" distB="0" distL="0" distR="0" wp14:anchorId="32C04BA6" wp14:editId="1622DDDF">
                  <wp:extent cx="3600000" cy="1751089"/>
                  <wp:effectExtent l="19050" t="0" r="450" b="0"/>
                  <wp:docPr id="1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srcRect/>
                          <a:stretch>
                            <a:fillRect/>
                          </a:stretch>
                        </pic:blipFill>
                        <pic:spPr bwMode="auto">
                          <a:xfrm>
                            <a:off x="0" y="0"/>
                            <a:ext cx="3600000" cy="1751089"/>
                          </a:xfrm>
                          <a:prstGeom prst="rect">
                            <a:avLst/>
                          </a:prstGeom>
                          <a:noFill/>
                          <a:ln w="9525">
                            <a:noFill/>
                            <a:miter lim="800000"/>
                            <a:headEnd/>
                            <a:tailEnd/>
                          </a:ln>
                        </pic:spPr>
                      </pic:pic>
                    </a:graphicData>
                  </a:graphic>
                </wp:inline>
              </w:drawing>
            </w:r>
          </w:p>
          <w:p w14:paraId="020BC422" w14:textId="77777777" w:rsidR="00A33BBC" w:rsidRPr="00D31CAE" w:rsidRDefault="00A33BBC" w:rsidP="00F10A9D">
            <w:pPr>
              <w:spacing w:before="0" w:after="0" w:line="240" w:lineRule="auto"/>
              <w:jc w:val="left"/>
              <w:rPr>
                <w:rFonts w:asciiTheme="majorHAnsi" w:eastAsia="Times New Roman" w:hAnsiTheme="majorHAnsi" w:cstheme="majorHAnsi"/>
                <w:b/>
                <w:color w:val="000000"/>
                <w:spacing w:val="0"/>
                <w:szCs w:val="22"/>
                <w:lang w:eastAsia="cs-CZ" w:bidi="ar-SA"/>
              </w:rPr>
            </w:pPr>
            <w:r w:rsidRPr="00D31CAE">
              <w:rPr>
                <w:rFonts w:asciiTheme="majorHAnsi" w:hAnsiTheme="majorHAnsi" w:cstheme="majorHAnsi"/>
                <w:sz w:val="18"/>
                <w:szCs w:val="18"/>
                <w:lang w:bidi="ar-SA"/>
              </w:rPr>
              <w:t>Zdroj: monitoring MPO, vlastní zpracování</w:t>
            </w:r>
          </w:p>
        </w:tc>
        <w:tc>
          <w:tcPr>
            <w:tcW w:w="3628" w:type="dxa"/>
            <w:vAlign w:val="top"/>
          </w:tcPr>
          <w:p w14:paraId="187002E7" w14:textId="77777777" w:rsidR="00A33BBC" w:rsidRDefault="00A33BBC" w:rsidP="00F10A9D">
            <w:pPr>
              <w:jc w:val="lef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Pr>
                <w:rFonts w:asciiTheme="majorHAnsi" w:eastAsia="Times New Roman" w:hAnsiTheme="majorHAnsi" w:cstheme="majorHAnsi"/>
                <w:color w:val="000000"/>
                <w:spacing w:val="0"/>
                <w:sz w:val="18"/>
                <w:szCs w:val="18"/>
                <w:lang w:eastAsia="cs-CZ" w:bidi="ar-SA"/>
              </w:rPr>
              <w:t>Cílové hodnoty všech sledovaných indikátorů byly dosaženy, některé i mnohonásobně.</w:t>
            </w:r>
          </w:p>
          <w:p w14:paraId="1C2C1464" w14:textId="77777777" w:rsidR="00A33BBC" w:rsidRDefault="00A33BBC" w:rsidP="00F10A9D">
            <w:pPr>
              <w:jc w:val="lef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Pr>
                <w:rFonts w:asciiTheme="majorHAnsi" w:eastAsia="Times New Roman" w:hAnsiTheme="majorHAnsi" w:cstheme="majorHAnsi"/>
                <w:color w:val="000000"/>
                <w:spacing w:val="0"/>
                <w:sz w:val="18"/>
                <w:szCs w:val="18"/>
                <w:lang w:eastAsia="cs-CZ" w:bidi="ar-SA"/>
              </w:rPr>
              <w:t xml:space="preserve">Problémem je, že kromě počtu nových výsledků VaV nemají zbývající indikátory výsledkový charakter a pouze </w:t>
            </w:r>
            <w:r w:rsidRPr="00C06350">
              <w:rPr>
                <w:rFonts w:asciiTheme="majorHAnsi" w:eastAsia="Times New Roman" w:hAnsiTheme="majorHAnsi" w:cstheme="majorHAnsi"/>
                <w:color w:val="000000"/>
                <w:spacing w:val="0"/>
                <w:sz w:val="18"/>
                <w:szCs w:val="18"/>
                <w:lang w:eastAsia="cs-CZ" w:bidi="ar-SA"/>
              </w:rPr>
              <w:t>odráž</w:t>
            </w:r>
            <w:r>
              <w:rPr>
                <w:rFonts w:asciiTheme="majorHAnsi" w:eastAsia="Times New Roman" w:hAnsiTheme="majorHAnsi" w:cstheme="majorHAnsi"/>
                <w:color w:val="000000"/>
                <w:spacing w:val="0"/>
                <w:sz w:val="18"/>
                <w:szCs w:val="18"/>
                <w:lang w:eastAsia="cs-CZ" w:bidi="ar-SA"/>
              </w:rPr>
              <w:t>ejí</w:t>
            </w:r>
            <w:r w:rsidRPr="00C06350">
              <w:rPr>
                <w:rFonts w:asciiTheme="majorHAnsi" w:eastAsia="Times New Roman" w:hAnsiTheme="majorHAnsi" w:cstheme="majorHAnsi"/>
                <w:color w:val="000000"/>
                <w:spacing w:val="0"/>
                <w:sz w:val="18"/>
                <w:szCs w:val="18"/>
                <w:lang w:eastAsia="cs-CZ" w:bidi="ar-SA"/>
              </w:rPr>
              <w:t xml:space="preserve"> počet podpořených subjektů bez vazby na výsledek</w:t>
            </w:r>
            <w:r>
              <w:rPr>
                <w:rFonts w:asciiTheme="majorHAnsi" w:eastAsia="Times New Roman" w:hAnsiTheme="majorHAnsi" w:cstheme="majorHAnsi"/>
                <w:color w:val="000000"/>
                <w:spacing w:val="0"/>
                <w:sz w:val="18"/>
                <w:szCs w:val="18"/>
                <w:lang w:eastAsia="cs-CZ" w:bidi="ar-SA"/>
              </w:rPr>
              <w:t>.</w:t>
            </w:r>
          </w:p>
          <w:p w14:paraId="6216FAD8" w14:textId="77777777" w:rsidR="00A33BBC" w:rsidRPr="00C06350" w:rsidRDefault="00A33BBC" w:rsidP="00F10A9D">
            <w:pPr>
              <w:jc w:val="lef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Pr>
                <w:rFonts w:asciiTheme="majorHAnsi" w:eastAsia="Times New Roman" w:hAnsiTheme="majorHAnsi" w:cstheme="majorHAnsi"/>
                <w:color w:val="000000"/>
                <w:spacing w:val="0"/>
                <w:sz w:val="18"/>
                <w:szCs w:val="18"/>
                <w:lang w:eastAsia="cs-CZ" w:bidi="ar-SA"/>
              </w:rPr>
              <w:t>Zhodnotit podle sledovaných indikátorů, jak podpořené projekty přispěly k naplnění deklarovaných specifických cílů</w:t>
            </w:r>
            <w:r w:rsidR="00DA5DE8">
              <w:rPr>
                <w:rFonts w:asciiTheme="majorHAnsi" w:eastAsia="Times New Roman" w:hAnsiTheme="majorHAnsi" w:cstheme="majorHAnsi"/>
                <w:color w:val="000000"/>
                <w:spacing w:val="0"/>
                <w:sz w:val="18"/>
                <w:szCs w:val="18"/>
                <w:lang w:eastAsia="cs-CZ" w:bidi="ar-SA"/>
              </w:rPr>
              <w:t>,</w:t>
            </w:r>
            <w:r>
              <w:rPr>
                <w:rFonts w:asciiTheme="majorHAnsi" w:eastAsia="Times New Roman" w:hAnsiTheme="majorHAnsi" w:cstheme="majorHAnsi"/>
                <w:color w:val="000000"/>
                <w:spacing w:val="0"/>
                <w:sz w:val="18"/>
                <w:szCs w:val="18"/>
                <w:lang w:eastAsia="cs-CZ" w:bidi="ar-SA"/>
              </w:rPr>
              <w:t xml:space="preserve"> je tedy prakticky nemožné.</w:t>
            </w:r>
          </w:p>
        </w:tc>
      </w:tr>
    </w:tbl>
    <w:p w14:paraId="3665F157" w14:textId="77777777" w:rsidR="00A33BBC" w:rsidRPr="001B560C" w:rsidRDefault="00A33BBC" w:rsidP="00A33BBC">
      <w:pPr>
        <w:spacing w:before="0" w:after="0" w:line="240" w:lineRule="auto"/>
        <w:jc w:val="left"/>
        <w:rPr>
          <w:sz w:val="18"/>
          <w:szCs w:val="18"/>
          <w:lang w:bidi="ar-SA"/>
        </w:rPr>
      </w:pPr>
    </w:p>
    <w:p w14:paraId="7FE861AE" w14:textId="77777777" w:rsidR="00A33BBC" w:rsidRDefault="00A33BBC" w:rsidP="00A33BBC">
      <w:pPr>
        <w:rPr>
          <w:lang w:bidi="ar-SA"/>
        </w:rPr>
      </w:pPr>
    </w:p>
    <w:p w14:paraId="10F85091" w14:textId="77777777" w:rsidR="00A33BBC" w:rsidRDefault="00A33BBC" w:rsidP="00A33BBC">
      <w:pPr>
        <w:rPr>
          <w:lang w:bidi="ar-SA"/>
        </w:rPr>
      </w:pPr>
    </w:p>
    <w:p w14:paraId="21378400" w14:textId="77777777" w:rsidR="00A33BBC" w:rsidRDefault="00A33BBC" w:rsidP="00A33BBC">
      <w:pPr>
        <w:rPr>
          <w:lang w:bidi="ar-SA"/>
        </w:rPr>
      </w:pPr>
    </w:p>
    <w:p w14:paraId="69CFA5C0" w14:textId="77777777" w:rsidR="00A33BBC" w:rsidRDefault="00A33BBC" w:rsidP="00A33BBC">
      <w:pPr>
        <w:rPr>
          <w:lang w:bidi="ar-SA"/>
        </w:rPr>
      </w:pPr>
    </w:p>
    <w:p w14:paraId="5E16A7F7" w14:textId="77777777" w:rsidR="00A33BBC" w:rsidRPr="00C149A9" w:rsidRDefault="00A33BBC" w:rsidP="00A33BBC">
      <w:pPr>
        <w:rPr>
          <w:b/>
          <w:u w:val="single"/>
          <w:lang w:bidi="ar-SA"/>
        </w:rPr>
      </w:pPr>
      <w:r w:rsidRPr="00C149A9">
        <w:rPr>
          <w:b/>
          <w:u w:val="single"/>
          <w:lang w:bidi="ar-SA"/>
        </w:rPr>
        <w:lastRenderedPageBreak/>
        <w:t>Epsilon (TA</w:t>
      </w:r>
      <w:r w:rsidR="00DA5DE8">
        <w:rPr>
          <w:b/>
          <w:u w:val="single"/>
          <w:lang w:bidi="ar-SA"/>
        </w:rPr>
        <w:t xml:space="preserve"> </w:t>
      </w:r>
      <w:r w:rsidRPr="00C149A9">
        <w:rPr>
          <w:b/>
          <w:u w:val="single"/>
          <w:lang w:bidi="ar-SA"/>
        </w:rPr>
        <w:t>ČR)</w:t>
      </w:r>
    </w:p>
    <w:p w14:paraId="26369A2E" w14:textId="77777777" w:rsidR="00780DF8" w:rsidRDefault="00780DF8" w:rsidP="00780DF8">
      <w:pPr>
        <w:rPr>
          <w:lang w:bidi="ar-SA"/>
        </w:rPr>
      </w:pPr>
      <w:r>
        <w:rPr>
          <w:lang w:bidi="ar-SA"/>
        </w:rPr>
        <w:t>Podíl programu při naplňování Národní RIS3 strategie (rozsah podřízenosti) je stanoven na úrovni 50 %. Sledované indikátory přispívají k naplnění všech níže uvedených specifických cílů Národní RIS3 strategie souhrnně, přičemž poměr jejich příspěvku (vah) k jednotlivým specifickým cílům je uveden v závorce.</w:t>
      </w:r>
    </w:p>
    <w:p w14:paraId="17C59C52" w14:textId="77777777" w:rsidR="00A33BBC" w:rsidRDefault="00A33BBC" w:rsidP="00A33BBC">
      <w:pPr>
        <w:contextualSpacing/>
        <w:rPr>
          <w:lang w:bidi="ar-SA"/>
        </w:rPr>
      </w:pPr>
      <w:r>
        <w:rPr>
          <w:lang w:bidi="ar-SA"/>
        </w:rPr>
        <w:t>A.1.1: Posílit výzkumné a vývojové kapacity podniků (10</w:t>
      </w:r>
      <w:r w:rsidR="00780DF8">
        <w:rPr>
          <w:lang w:bidi="ar-SA"/>
        </w:rPr>
        <w:t xml:space="preserve"> </w:t>
      </w:r>
      <w:r>
        <w:rPr>
          <w:lang w:bidi="ar-SA"/>
        </w:rPr>
        <w:t>%)</w:t>
      </w:r>
    </w:p>
    <w:p w14:paraId="130AC5D1" w14:textId="77777777" w:rsidR="00A33BBC" w:rsidRDefault="00A33BBC" w:rsidP="00A33BBC">
      <w:pPr>
        <w:contextualSpacing/>
        <w:rPr>
          <w:lang w:bidi="ar-SA"/>
        </w:rPr>
      </w:pPr>
      <w:r>
        <w:rPr>
          <w:lang w:bidi="ar-SA"/>
        </w:rPr>
        <w:t>A.1.3: Posílit technologickou spolupráci firem (20</w:t>
      </w:r>
      <w:r w:rsidR="00780DF8">
        <w:rPr>
          <w:lang w:bidi="ar-SA"/>
        </w:rPr>
        <w:t xml:space="preserve"> </w:t>
      </w:r>
      <w:r>
        <w:rPr>
          <w:lang w:bidi="ar-SA"/>
        </w:rPr>
        <w:t>%)</w:t>
      </w:r>
    </w:p>
    <w:p w14:paraId="1F53961B" w14:textId="77777777" w:rsidR="00A33BBC" w:rsidRDefault="00A33BBC" w:rsidP="00A33BBC">
      <w:pPr>
        <w:contextualSpacing/>
        <w:rPr>
          <w:lang w:bidi="ar-SA"/>
        </w:rPr>
      </w:pPr>
      <w:r>
        <w:rPr>
          <w:lang w:bidi="ar-SA"/>
        </w:rPr>
        <w:t>C.1.1: Posílit spolupráci a interakci mezi VO a aplikační sférou (50</w:t>
      </w:r>
      <w:r w:rsidR="00780DF8">
        <w:rPr>
          <w:lang w:bidi="ar-SA"/>
        </w:rPr>
        <w:t xml:space="preserve"> </w:t>
      </w:r>
      <w:r>
        <w:rPr>
          <w:lang w:bidi="ar-SA"/>
        </w:rPr>
        <w:t>%)</w:t>
      </w:r>
    </w:p>
    <w:p w14:paraId="64B23F9B" w14:textId="77777777" w:rsidR="00A33BBC" w:rsidRDefault="00A33BBC" w:rsidP="00A33BBC">
      <w:pPr>
        <w:rPr>
          <w:lang w:bidi="ar-SA"/>
        </w:rPr>
      </w:pPr>
      <w:r>
        <w:rPr>
          <w:lang w:bidi="ar-SA"/>
        </w:rPr>
        <w:t>C.1.2: Zvýšit komerční využití výsledků VaV a znalostí VO (20</w:t>
      </w:r>
      <w:r w:rsidR="00780DF8">
        <w:rPr>
          <w:lang w:bidi="ar-SA"/>
        </w:rPr>
        <w:t xml:space="preserve"> </w:t>
      </w:r>
      <w:r>
        <w:rPr>
          <w:lang w:bidi="ar-SA"/>
        </w:rPr>
        <w:t>%)</w:t>
      </w:r>
    </w:p>
    <w:p w14:paraId="253F072F" w14:textId="77777777" w:rsidR="00A33BBC" w:rsidRDefault="00A33BBC" w:rsidP="00A33BBC">
      <w:pPr>
        <w:spacing w:before="0" w:after="0" w:line="240" w:lineRule="auto"/>
        <w:rPr>
          <w:rFonts w:eastAsia="Times New Roman" w:cs="Calibri"/>
          <w:color w:val="000000"/>
          <w:spacing w:val="0"/>
          <w:szCs w:val="22"/>
          <w:lang w:eastAsia="cs-CZ" w:bidi="ar-SA"/>
        </w:rPr>
      </w:pPr>
      <w:bookmarkStart w:id="81" w:name="_Toc5626504"/>
      <w:r w:rsidRPr="00570F07">
        <w:rPr>
          <w:b/>
          <w:szCs w:val="22"/>
        </w:rPr>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21</w:t>
      </w:r>
      <w:r w:rsidR="008A090D" w:rsidRPr="00570F07">
        <w:rPr>
          <w:b/>
          <w:szCs w:val="22"/>
        </w:rPr>
        <w:fldChar w:fldCharType="end"/>
      </w:r>
      <w:r w:rsidRPr="00570F07">
        <w:rPr>
          <w:b/>
          <w:szCs w:val="22"/>
        </w:rPr>
        <w:t xml:space="preserve"> </w:t>
      </w:r>
      <w:r>
        <w:rPr>
          <w:b/>
          <w:szCs w:val="22"/>
        </w:rPr>
        <w:t>–</w:t>
      </w:r>
      <w:r w:rsidRPr="00570F07">
        <w:rPr>
          <w:b/>
          <w:szCs w:val="22"/>
        </w:rPr>
        <w:t xml:space="preserve"> </w:t>
      </w:r>
      <w:r w:rsidRPr="00F860BD">
        <w:rPr>
          <w:rFonts w:eastAsia="Times New Roman" w:cs="Calibri"/>
          <w:color w:val="000000"/>
          <w:spacing w:val="0"/>
          <w:szCs w:val="22"/>
          <w:lang w:eastAsia="cs-CZ" w:bidi="ar-SA"/>
        </w:rPr>
        <w:t xml:space="preserve">Indikátory specifických cílů </w:t>
      </w:r>
      <w:r>
        <w:rPr>
          <w:rFonts w:eastAsia="Times New Roman" w:cs="Calibri"/>
          <w:color w:val="000000"/>
          <w:spacing w:val="0"/>
          <w:szCs w:val="22"/>
          <w:lang w:eastAsia="cs-CZ" w:bidi="ar-SA"/>
        </w:rPr>
        <w:t>v programu Epsilon</w:t>
      </w:r>
      <w:bookmarkEnd w:id="81"/>
    </w:p>
    <w:p w14:paraId="7E0362CC" w14:textId="77777777" w:rsidR="00A33BBC" w:rsidRPr="00CA6618" w:rsidRDefault="00A33BBC" w:rsidP="00A33BBC">
      <w:pPr>
        <w:spacing w:before="0" w:after="0" w:line="240" w:lineRule="auto"/>
        <w:rPr>
          <w:rFonts w:eastAsia="Times New Roman" w:cs="Calibri"/>
          <w:color w:val="000000"/>
          <w:spacing w:val="0"/>
          <w:sz w:val="16"/>
          <w:szCs w:val="16"/>
          <w:lang w:eastAsia="cs-CZ" w:bidi="ar-SA"/>
        </w:rPr>
      </w:pPr>
    </w:p>
    <w:tbl>
      <w:tblPr>
        <w:tblStyle w:val="Mkatabulky"/>
        <w:tblW w:w="92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16"/>
        <w:gridCol w:w="3381"/>
      </w:tblGrid>
      <w:tr w:rsidR="00A33BBC" w:rsidRPr="00C06350" w14:paraId="21AA4617" w14:textId="77777777" w:rsidTr="00F10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16" w:type="dxa"/>
          </w:tcPr>
          <w:p w14:paraId="62F22C4F" w14:textId="77777777" w:rsidR="00A33BBC" w:rsidRDefault="00A33BBC" w:rsidP="00F10A9D">
            <w:pPr>
              <w:spacing w:before="0" w:after="0" w:line="240" w:lineRule="auto"/>
              <w:jc w:val="left"/>
              <w:rPr>
                <w:rFonts w:eastAsia="Times New Roman" w:cs="Calibri"/>
                <w:b/>
                <w:color w:val="000000"/>
                <w:spacing w:val="0"/>
                <w:szCs w:val="22"/>
                <w:lang w:eastAsia="cs-CZ" w:bidi="ar-SA"/>
              </w:rPr>
            </w:pPr>
            <w:r w:rsidRPr="00824B41">
              <w:rPr>
                <w:noProof/>
                <w:szCs w:val="26"/>
                <w:lang w:eastAsia="cs-CZ" w:bidi="ar-SA"/>
              </w:rPr>
              <w:drawing>
                <wp:inline distT="0" distB="0" distL="0" distR="0" wp14:anchorId="52A68130" wp14:editId="58B6EBB9">
                  <wp:extent cx="3600000" cy="2394328"/>
                  <wp:effectExtent l="19050" t="0" r="450" b="0"/>
                  <wp:docPr id="1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srcRect/>
                          <a:stretch>
                            <a:fillRect/>
                          </a:stretch>
                        </pic:blipFill>
                        <pic:spPr bwMode="auto">
                          <a:xfrm>
                            <a:off x="0" y="0"/>
                            <a:ext cx="3600000" cy="2394328"/>
                          </a:xfrm>
                          <a:prstGeom prst="rect">
                            <a:avLst/>
                          </a:prstGeom>
                          <a:noFill/>
                          <a:ln w="9525">
                            <a:noFill/>
                            <a:miter lim="800000"/>
                            <a:headEnd/>
                            <a:tailEnd/>
                          </a:ln>
                        </pic:spPr>
                      </pic:pic>
                    </a:graphicData>
                  </a:graphic>
                </wp:inline>
              </w:drawing>
            </w:r>
          </w:p>
          <w:p w14:paraId="7F9ACACE" w14:textId="77777777" w:rsidR="00A33BBC" w:rsidRPr="00CA6618" w:rsidRDefault="00A33BBC" w:rsidP="00F10A9D">
            <w:pPr>
              <w:spacing w:before="0" w:after="0" w:line="240" w:lineRule="auto"/>
              <w:jc w:val="left"/>
              <w:rPr>
                <w:rFonts w:asciiTheme="majorHAnsi" w:eastAsia="Times New Roman" w:hAnsiTheme="majorHAnsi" w:cstheme="majorHAnsi"/>
                <w:b/>
                <w:color w:val="000000"/>
                <w:spacing w:val="0"/>
                <w:szCs w:val="22"/>
                <w:lang w:eastAsia="cs-CZ" w:bidi="ar-SA"/>
              </w:rPr>
            </w:pPr>
            <w:r w:rsidRPr="00CA6618">
              <w:rPr>
                <w:rFonts w:asciiTheme="majorHAnsi" w:hAnsiTheme="majorHAnsi" w:cstheme="majorHAnsi"/>
                <w:sz w:val="18"/>
                <w:szCs w:val="18"/>
                <w:lang w:bidi="ar-SA"/>
              </w:rPr>
              <w:t>Zdroj: monitoring MPO, vlastní zpracování</w:t>
            </w:r>
          </w:p>
        </w:tc>
        <w:tc>
          <w:tcPr>
            <w:tcW w:w="3381" w:type="dxa"/>
            <w:vAlign w:val="top"/>
          </w:tcPr>
          <w:p w14:paraId="7063478E" w14:textId="77777777" w:rsidR="00A33BBC" w:rsidRDefault="00A33BBC" w:rsidP="00F10A9D">
            <w:pPr>
              <w:spacing w:before="120" w:after="120"/>
              <w:jc w:val="lef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Pr>
                <w:rFonts w:asciiTheme="majorHAnsi" w:eastAsia="Times New Roman" w:hAnsiTheme="majorHAnsi" w:cstheme="majorHAnsi"/>
                <w:color w:val="000000"/>
                <w:spacing w:val="0"/>
                <w:sz w:val="18"/>
                <w:szCs w:val="18"/>
                <w:lang w:eastAsia="cs-CZ" w:bidi="ar-SA"/>
              </w:rPr>
              <w:t xml:space="preserve">Z 9 sledovaných indikátorů nemá jeden indikátor výsledkový charakter a pouze </w:t>
            </w:r>
            <w:r w:rsidRPr="00C06350">
              <w:rPr>
                <w:rFonts w:asciiTheme="majorHAnsi" w:eastAsia="Times New Roman" w:hAnsiTheme="majorHAnsi" w:cstheme="majorHAnsi"/>
                <w:color w:val="000000"/>
                <w:spacing w:val="0"/>
                <w:sz w:val="18"/>
                <w:szCs w:val="18"/>
                <w:lang w:eastAsia="cs-CZ" w:bidi="ar-SA"/>
              </w:rPr>
              <w:t>odráž</w:t>
            </w:r>
            <w:r>
              <w:rPr>
                <w:rFonts w:asciiTheme="majorHAnsi" w:eastAsia="Times New Roman" w:hAnsiTheme="majorHAnsi" w:cstheme="majorHAnsi"/>
                <w:color w:val="000000"/>
                <w:spacing w:val="0"/>
                <w:sz w:val="18"/>
                <w:szCs w:val="18"/>
                <w:lang w:eastAsia="cs-CZ" w:bidi="ar-SA"/>
              </w:rPr>
              <w:t>í</w:t>
            </w:r>
            <w:r w:rsidRPr="00C06350">
              <w:rPr>
                <w:rFonts w:asciiTheme="majorHAnsi" w:eastAsia="Times New Roman" w:hAnsiTheme="majorHAnsi" w:cstheme="majorHAnsi"/>
                <w:color w:val="000000"/>
                <w:spacing w:val="0"/>
                <w:sz w:val="18"/>
                <w:szCs w:val="18"/>
                <w:lang w:eastAsia="cs-CZ" w:bidi="ar-SA"/>
              </w:rPr>
              <w:t xml:space="preserve"> počet podpořených subjektů bez vazby na výsledek</w:t>
            </w:r>
            <w:r>
              <w:rPr>
                <w:rFonts w:asciiTheme="majorHAnsi" w:eastAsia="Times New Roman" w:hAnsiTheme="majorHAnsi" w:cstheme="majorHAnsi"/>
                <w:color w:val="000000"/>
                <w:spacing w:val="0"/>
                <w:sz w:val="18"/>
                <w:szCs w:val="18"/>
                <w:lang w:eastAsia="cs-CZ" w:bidi="ar-SA"/>
              </w:rPr>
              <w:t>.</w:t>
            </w:r>
          </w:p>
          <w:p w14:paraId="2BBD0334" w14:textId="77777777" w:rsidR="00A33BBC" w:rsidRDefault="00A33BBC" w:rsidP="00F10A9D">
            <w:pPr>
              <w:spacing w:before="120" w:after="120"/>
              <w:jc w:val="lef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Pr>
                <w:rFonts w:asciiTheme="majorHAnsi" w:eastAsia="Times New Roman" w:hAnsiTheme="majorHAnsi" w:cstheme="majorHAnsi"/>
                <w:color w:val="000000"/>
                <w:spacing w:val="0"/>
                <w:sz w:val="18"/>
                <w:szCs w:val="18"/>
                <w:lang w:eastAsia="cs-CZ" w:bidi="ar-SA"/>
              </w:rPr>
              <w:t>Ze zbývajících osmi jich polovina již dosáhla nebo se blíží cílové hodnotě. Zbývající čtyři indikátory jsou pod úrovní 50 % cílové hodnoty, avšak meziroční dynamika přírůstu hodnoty zakládá určitou šanci, že cílové hodnoty bude nakonec dosaženo.</w:t>
            </w:r>
          </w:p>
          <w:p w14:paraId="0D30BC08" w14:textId="77777777" w:rsidR="00A33BBC" w:rsidRPr="00C06350" w:rsidRDefault="00A33BBC" w:rsidP="00F10A9D">
            <w:pPr>
              <w:spacing w:before="120" w:after="120"/>
              <w:jc w:val="lef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Pr>
                <w:rFonts w:asciiTheme="majorHAnsi" w:eastAsia="Times New Roman" w:hAnsiTheme="majorHAnsi" w:cstheme="majorHAnsi"/>
                <w:color w:val="000000"/>
                <w:spacing w:val="0"/>
                <w:sz w:val="18"/>
                <w:szCs w:val="18"/>
                <w:lang w:eastAsia="cs-CZ" w:bidi="ar-SA"/>
              </w:rPr>
              <w:t>I když nelze exaktně vyjádřit</w:t>
            </w:r>
            <w:r w:rsidR="00DA5DE8">
              <w:rPr>
                <w:rFonts w:asciiTheme="majorHAnsi" w:eastAsia="Times New Roman" w:hAnsiTheme="majorHAnsi" w:cstheme="majorHAnsi"/>
                <w:color w:val="000000"/>
                <w:spacing w:val="0"/>
                <w:sz w:val="18"/>
                <w:szCs w:val="18"/>
                <w:lang w:eastAsia="cs-CZ" w:bidi="ar-SA"/>
              </w:rPr>
              <w:t>,</w:t>
            </w:r>
            <w:r>
              <w:rPr>
                <w:rFonts w:asciiTheme="majorHAnsi" w:eastAsia="Times New Roman" w:hAnsiTheme="majorHAnsi" w:cstheme="majorHAnsi"/>
                <w:color w:val="000000"/>
                <w:spacing w:val="0"/>
                <w:sz w:val="18"/>
                <w:szCs w:val="18"/>
                <w:lang w:eastAsia="cs-CZ" w:bidi="ar-SA"/>
              </w:rPr>
              <w:t xml:space="preserve"> jak program přispěl k naplnění konkrétních specifických cílů Národní RIS3 strategie, lze sledované indikátory označit za relevantní k těmto cílům.</w:t>
            </w:r>
          </w:p>
        </w:tc>
      </w:tr>
    </w:tbl>
    <w:p w14:paraId="1C4FA943" w14:textId="77777777" w:rsidR="00A33BBC" w:rsidRPr="001B560C" w:rsidRDefault="00A33BBC" w:rsidP="00A33BBC">
      <w:pPr>
        <w:spacing w:before="0" w:after="0" w:line="240" w:lineRule="auto"/>
        <w:jc w:val="left"/>
        <w:rPr>
          <w:sz w:val="18"/>
          <w:szCs w:val="18"/>
          <w:lang w:bidi="ar-SA"/>
        </w:rPr>
      </w:pPr>
    </w:p>
    <w:p w14:paraId="371D3F10" w14:textId="77777777" w:rsidR="00A33BBC" w:rsidRPr="00C149A9" w:rsidRDefault="00A33BBC" w:rsidP="00A33BBC">
      <w:pPr>
        <w:rPr>
          <w:b/>
          <w:u w:val="single"/>
          <w:lang w:bidi="ar-SA"/>
        </w:rPr>
      </w:pPr>
      <w:r w:rsidRPr="00C149A9">
        <w:rPr>
          <w:b/>
          <w:u w:val="single"/>
          <w:lang w:bidi="ar-SA"/>
        </w:rPr>
        <w:t>GAMA (TA</w:t>
      </w:r>
      <w:r w:rsidR="00DA5DE8">
        <w:rPr>
          <w:b/>
          <w:u w:val="single"/>
          <w:lang w:bidi="ar-SA"/>
        </w:rPr>
        <w:t xml:space="preserve"> </w:t>
      </w:r>
      <w:r w:rsidRPr="00C149A9">
        <w:rPr>
          <w:b/>
          <w:u w:val="single"/>
          <w:lang w:bidi="ar-SA"/>
        </w:rPr>
        <w:t>ČR)</w:t>
      </w:r>
    </w:p>
    <w:p w14:paraId="78092CD7" w14:textId="77777777" w:rsidR="00780DF8" w:rsidRDefault="00780DF8" w:rsidP="00780DF8">
      <w:pPr>
        <w:rPr>
          <w:lang w:bidi="ar-SA"/>
        </w:rPr>
      </w:pPr>
      <w:r>
        <w:rPr>
          <w:lang w:bidi="ar-SA"/>
        </w:rPr>
        <w:t>Podíl programu při naplňování Národní RIS3 strategie (rozsah podřízenosti) je stanoven na úrovni 50 %. Sledované indikátory přispívají k naplnění všech níže uvedených specifických cílů Národní RIS3 strategie souhrnně, přičemž poměr jejich příspěvku (vah) k jednotlivým specifickým cílům je uveden v závorce.</w:t>
      </w:r>
    </w:p>
    <w:p w14:paraId="130A20C1" w14:textId="77777777" w:rsidR="00A33BBC" w:rsidRDefault="00A33BBC" w:rsidP="00A33BBC">
      <w:pPr>
        <w:rPr>
          <w:lang w:bidi="ar-SA"/>
        </w:rPr>
      </w:pPr>
      <w:r w:rsidRPr="00824B41">
        <w:rPr>
          <w:lang w:bidi="ar-SA"/>
        </w:rPr>
        <w:t>C.1.2: Zvýšit komerční využití výsledků VaV a znalostí VO (20</w:t>
      </w:r>
      <w:r w:rsidR="00780DF8">
        <w:rPr>
          <w:lang w:bidi="ar-SA"/>
        </w:rPr>
        <w:t xml:space="preserve"> </w:t>
      </w:r>
      <w:r w:rsidRPr="00824B41">
        <w:rPr>
          <w:lang w:bidi="ar-SA"/>
        </w:rPr>
        <w:t>%)</w:t>
      </w:r>
    </w:p>
    <w:p w14:paraId="06974E47" w14:textId="77777777" w:rsidR="00125D41" w:rsidRDefault="00125D41" w:rsidP="00A33BBC">
      <w:pPr>
        <w:spacing w:before="0" w:after="0" w:line="240" w:lineRule="auto"/>
        <w:rPr>
          <w:b/>
          <w:szCs w:val="22"/>
        </w:rPr>
      </w:pPr>
    </w:p>
    <w:p w14:paraId="75A2BC2D" w14:textId="77777777" w:rsidR="00125D41" w:rsidRDefault="00125D41" w:rsidP="00A33BBC">
      <w:pPr>
        <w:spacing w:before="0" w:after="0" w:line="240" w:lineRule="auto"/>
        <w:rPr>
          <w:b/>
          <w:szCs w:val="22"/>
        </w:rPr>
      </w:pPr>
    </w:p>
    <w:p w14:paraId="7F1A0800" w14:textId="77777777" w:rsidR="00125D41" w:rsidRDefault="00125D41" w:rsidP="00A33BBC">
      <w:pPr>
        <w:spacing w:before="0" w:after="0" w:line="240" w:lineRule="auto"/>
        <w:rPr>
          <w:b/>
          <w:szCs w:val="22"/>
        </w:rPr>
      </w:pPr>
    </w:p>
    <w:p w14:paraId="24B1D95E" w14:textId="77777777" w:rsidR="00125D41" w:rsidRDefault="00125D41" w:rsidP="00A33BBC">
      <w:pPr>
        <w:spacing w:before="0" w:after="0" w:line="240" w:lineRule="auto"/>
        <w:rPr>
          <w:b/>
          <w:szCs w:val="22"/>
        </w:rPr>
      </w:pPr>
    </w:p>
    <w:p w14:paraId="55ECBE3E" w14:textId="77777777" w:rsidR="00125D41" w:rsidRDefault="00125D41" w:rsidP="00A33BBC">
      <w:pPr>
        <w:spacing w:before="0" w:after="0" w:line="240" w:lineRule="auto"/>
        <w:rPr>
          <w:b/>
          <w:szCs w:val="22"/>
        </w:rPr>
      </w:pPr>
    </w:p>
    <w:p w14:paraId="764B3B38" w14:textId="77777777" w:rsidR="00125D41" w:rsidRDefault="00125D41" w:rsidP="00A33BBC">
      <w:pPr>
        <w:spacing w:before="0" w:after="0" w:line="240" w:lineRule="auto"/>
        <w:rPr>
          <w:b/>
          <w:szCs w:val="22"/>
        </w:rPr>
      </w:pPr>
    </w:p>
    <w:p w14:paraId="3F2BC65C" w14:textId="77777777" w:rsidR="00125D41" w:rsidRDefault="00125D41" w:rsidP="00A33BBC">
      <w:pPr>
        <w:spacing w:before="0" w:after="0" w:line="240" w:lineRule="auto"/>
        <w:rPr>
          <w:b/>
          <w:szCs w:val="22"/>
        </w:rPr>
      </w:pPr>
    </w:p>
    <w:p w14:paraId="0D658A5F" w14:textId="77777777" w:rsidR="00125D41" w:rsidRDefault="00125D41" w:rsidP="00A33BBC">
      <w:pPr>
        <w:spacing w:before="0" w:after="0" w:line="240" w:lineRule="auto"/>
        <w:rPr>
          <w:b/>
          <w:szCs w:val="22"/>
        </w:rPr>
      </w:pPr>
    </w:p>
    <w:p w14:paraId="0B7A14EA" w14:textId="77777777" w:rsidR="00A33BBC" w:rsidRDefault="00A33BBC" w:rsidP="00A33BBC">
      <w:pPr>
        <w:spacing w:before="0" w:after="0" w:line="240" w:lineRule="auto"/>
        <w:rPr>
          <w:rFonts w:eastAsia="Times New Roman" w:cs="Calibri"/>
          <w:color w:val="000000"/>
          <w:spacing w:val="0"/>
          <w:szCs w:val="22"/>
          <w:lang w:eastAsia="cs-CZ" w:bidi="ar-SA"/>
        </w:rPr>
      </w:pPr>
      <w:bookmarkStart w:id="82" w:name="_Toc5626505"/>
      <w:r w:rsidRPr="00570F07">
        <w:rPr>
          <w:b/>
          <w:szCs w:val="22"/>
        </w:rPr>
        <w:lastRenderedPageBreak/>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22</w:t>
      </w:r>
      <w:r w:rsidR="008A090D" w:rsidRPr="00570F07">
        <w:rPr>
          <w:b/>
          <w:szCs w:val="22"/>
        </w:rPr>
        <w:fldChar w:fldCharType="end"/>
      </w:r>
      <w:r w:rsidRPr="00570F07">
        <w:rPr>
          <w:b/>
          <w:szCs w:val="22"/>
        </w:rPr>
        <w:t xml:space="preserve"> </w:t>
      </w:r>
      <w:r>
        <w:rPr>
          <w:b/>
          <w:szCs w:val="22"/>
        </w:rPr>
        <w:t>–</w:t>
      </w:r>
      <w:r w:rsidRPr="00570F07">
        <w:rPr>
          <w:b/>
          <w:szCs w:val="22"/>
        </w:rPr>
        <w:t xml:space="preserve"> </w:t>
      </w:r>
      <w:r w:rsidRPr="00F860BD">
        <w:rPr>
          <w:rFonts w:eastAsia="Times New Roman" w:cs="Calibri"/>
          <w:color w:val="000000"/>
          <w:spacing w:val="0"/>
          <w:szCs w:val="22"/>
          <w:lang w:eastAsia="cs-CZ" w:bidi="ar-SA"/>
        </w:rPr>
        <w:t xml:space="preserve">Indikátory specifických cílů </w:t>
      </w:r>
      <w:r>
        <w:rPr>
          <w:rFonts w:eastAsia="Times New Roman" w:cs="Calibri"/>
          <w:color w:val="000000"/>
          <w:spacing w:val="0"/>
          <w:szCs w:val="22"/>
          <w:lang w:eastAsia="cs-CZ" w:bidi="ar-SA"/>
        </w:rPr>
        <w:t>v programu Gama</w:t>
      </w:r>
      <w:bookmarkEnd w:id="82"/>
    </w:p>
    <w:p w14:paraId="65810389" w14:textId="77777777" w:rsidR="00A33BBC" w:rsidRPr="00CA6618" w:rsidRDefault="00A33BBC" w:rsidP="00A33BBC">
      <w:pPr>
        <w:spacing w:before="0" w:after="0" w:line="240" w:lineRule="auto"/>
        <w:rPr>
          <w:rFonts w:eastAsia="Times New Roman" w:cs="Calibri"/>
          <w:color w:val="000000"/>
          <w:spacing w:val="0"/>
          <w:sz w:val="16"/>
          <w:szCs w:val="16"/>
          <w:lang w:eastAsia="cs-CZ" w:bidi="ar-SA"/>
        </w:rPr>
      </w:pPr>
    </w:p>
    <w:tbl>
      <w:tblPr>
        <w:tblStyle w:val="Mkatabulky"/>
        <w:tblW w:w="92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16"/>
        <w:gridCol w:w="3381"/>
      </w:tblGrid>
      <w:tr w:rsidR="00A33BBC" w:rsidRPr="00C06350" w14:paraId="3F198EA7" w14:textId="77777777" w:rsidTr="00F10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16" w:type="dxa"/>
          </w:tcPr>
          <w:p w14:paraId="21719742" w14:textId="77777777" w:rsidR="00A33BBC" w:rsidRDefault="00A33BBC" w:rsidP="00F10A9D">
            <w:pPr>
              <w:spacing w:before="0" w:after="0" w:line="240" w:lineRule="auto"/>
              <w:jc w:val="left"/>
              <w:rPr>
                <w:rFonts w:eastAsia="Times New Roman" w:cs="Calibri"/>
                <w:b/>
                <w:color w:val="000000"/>
                <w:spacing w:val="0"/>
                <w:szCs w:val="22"/>
                <w:lang w:eastAsia="cs-CZ" w:bidi="ar-SA"/>
              </w:rPr>
            </w:pPr>
            <w:r w:rsidRPr="00824B41">
              <w:rPr>
                <w:noProof/>
                <w:lang w:eastAsia="cs-CZ" w:bidi="ar-SA"/>
              </w:rPr>
              <w:drawing>
                <wp:inline distT="0" distB="0" distL="0" distR="0" wp14:anchorId="7C7DF783" wp14:editId="078D5E98">
                  <wp:extent cx="3600000" cy="1343794"/>
                  <wp:effectExtent l="19050" t="0" r="450" b="0"/>
                  <wp:docPr id="14"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srcRect/>
                          <a:stretch>
                            <a:fillRect/>
                          </a:stretch>
                        </pic:blipFill>
                        <pic:spPr bwMode="auto">
                          <a:xfrm>
                            <a:off x="0" y="0"/>
                            <a:ext cx="3600000" cy="1343794"/>
                          </a:xfrm>
                          <a:prstGeom prst="rect">
                            <a:avLst/>
                          </a:prstGeom>
                          <a:noFill/>
                          <a:ln w="9525">
                            <a:noFill/>
                            <a:miter lim="800000"/>
                            <a:headEnd/>
                            <a:tailEnd/>
                          </a:ln>
                        </pic:spPr>
                      </pic:pic>
                    </a:graphicData>
                  </a:graphic>
                </wp:inline>
              </w:drawing>
            </w:r>
          </w:p>
          <w:p w14:paraId="1DC47574" w14:textId="77777777" w:rsidR="00A33BBC" w:rsidRPr="00CA6618" w:rsidRDefault="00A33BBC" w:rsidP="00F10A9D">
            <w:pPr>
              <w:spacing w:before="0" w:after="0" w:line="240" w:lineRule="auto"/>
              <w:jc w:val="left"/>
              <w:rPr>
                <w:rFonts w:asciiTheme="majorHAnsi" w:hAnsiTheme="majorHAnsi" w:cstheme="majorHAnsi"/>
                <w:sz w:val="18"/>
                <w:szCs w:val="18"/>
                <w:lang w:bidi="ar-SA"/>
              </w:rPr>
            </w:pPr>
            <w:r w:rsidRPr="00CA6618">
              <w:rPr>
                <w:rFonts w:asciiTheme="majorHAnsi" w:hAnsiTheme="majorHAnsi" w:cstheme="majorHAnsi"/>
                <w:sz w:val="18"/>
                <w:szCs w:val="18"/>
                <w:lang w:bidi="ar-SA"/>
              </w:rPr>
              <w:t>Zdroj: monitoring MPO, vlastní zpracování</w:t>
            </w:r>
          </w:p>
          <w:p w14:paraId="14DA98A4" w14:textId="77777777" w:rsidR="00A33BBC" w:rsidRDefault="00A33BBC" w:rsidP="00F10A9D">
            <w:pPr>
              <w:spacing w:before="0" w:after="0" w:line="240" w:lineRule="auto"/>
              <w:jc w:val="left"/>
              <w:rPr>
                <w:rFonts w:eastAsia="Times New Roman" w:cs="Calibri"/>
                <w:b/>
                <w:color w:val="000000"/>
                <w:spacing w:val="0"/>
                <w:szCs w:val="22"/>
                <w:lang w:eastAsia="cs-CZ" w:bidi="ar-SA"/>
              </w:rPr>
            </w:pPr>
          </w:p>
          <w:p w14:paraId="211E9995" w14:textId="77777777" w:rsidR="00CB2813" w:rsidRDefault="00CB2813" w:rsidP="00F10A9D">
            <w:pPr>
              <w:spacing w:before="0" w:after="0" w:line="240" w:lineRule="auto"/>
              <w:jc w:val="left"/>
              <w:rPr>
                <w:rFonts w:eastAsia="Times New Roman" w:cs="Calibri"/>
                <w:b/>
                <w:color w:val="000000"/>
                <w:spacing w:val="0"/>
                <w:szCs w:val="22"/>
                <w:lang w:eastAsia="cs-CZ" w:bidi="ar-SA"/>
              </w:rPr>
            </w:pPr>
          </w:p>
        </w:tc>
        <w:tc>
          <w:tcPr>
            <w:tcW w:w="3381" w:type="dxa"/>
            <w:vAlign w:val="top"/>
          </w:tcPr>
          <w:p w14:paraId="2DF69FFA" w14:textId="77777777" w:rsidR="00A33BBC" w:rsidRDefault="00A33BBC" w:rsidP="00F10A9D">
            <w:pPr>
              <w:spacing w:before="0"/>
              <w:jc w:val="lef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Pr>
                <w:rFonts w:asciiTheme="majorHAnsi" w:eastAsia="Times New Roman" w:hAnsiTheme="majorHAnsi" w:cstheme="majorHAnsi"/>
                <w:color w:val="000000"/>
                <w:spacing w:val="0"/>
                <w:sz w:val="18"/>
                <w:szCs w:val="18"/>
                <w:lang w:eastAsia="cs-CZ" w:bidi="ar-SA"/>
              </w:rPr>
              <w:t xml:space="preserve">Ze 4 sledovaných indikátorů nemá jeden indikátor výsledkový charakter a pouze </w:t>
            </w:r>
            <w:r w:rsidRPr="00C06350">
              <w:rPr>
                <w:rFonts w:asciiTheme="majorHAnsi" w:eastAsia="Times New Roman" w:hAnsiTheme="majorHAnsi" w:cstheme="majorHAnsi"/>
                <w:color w:val="000000"/>
                <w:spacing w:val="0"/>
                <w:sz w:val="18"/>
                <w:szCs w:val="18"/>
                <w:lang w:eastAsia="cs-CZ" w:bidi="ar-SA"/>
              </w:rPr>
              <w:t>odráž</w:t>
            </w:r>
            <w:r>
              <w:rPr>
                <w:rFonts w:asciiTheme="majorHAnsi" w:eastAsia="Times New Roman" w:hAnsiTheme="majorHAnsi" w:cstheme="majorHAnsi"/>
                <w:color w:val="000000"/>
                <w:spacing w:val="0"/>
                <w:sz w:val="18"/>
                <w:szCs w:val="18"/>
                <w:lang w:eastAsia="cs-CZ" w:bidi="ar-SA"/>
              </w:rPr>
              <w:t>í</w:t>
            </w:r>
            <w:r w:rsidRPr="00C06350">
              <w:rPr>
                <w:rFonts w:asciiTheme="majorHAnsi" w:eastAsia="Times New Roman" w:hAnsiTheme="majorHAnsi" w:cstheme="majorHAnsi"/>
                <w:color w:val="000000"/>
                <w:spacing w:val="0"/>
                <w:sz w:val="18"/>
                <w:szCs w:val="18"/>
                <w:lang w:eastAsia="cs-CZ" w:bidi="ar-SA"/>
              </w:rPr>
              <w:t xml:space="preserve"> počet podpořených subjektů bez vazby na výsledek</w:t>
            </w:r>
            <w:r>
              <w:rPr>
                <w:rFonts w:asciiTheme="majorHAnsi" w:eastAsia="Times New Roman" w:hAnsiTheme="majorHAnsi" w:cstheme="majorHAnsi"/>
                <w:color w:val="000000"/>
                <w:spacing w:val="0"/>
                <w:sz w:val="18"/>
                <w:szCs w:val="18"/>
                <w:lang w:eastAsia="cs-CZ" w:bidi="ar-SA"/>
              </w:rPr>
              <w:t>.</w:t>
            </w:r>
          </w:p>
          <w:p w14:paraId="69641229" w14:textId="77777777" w:rsidR="00A33BBC" w:rsidRPr="00C06350" w:rsidRDefault="00A33BBC" w:rsidP="00F10A9D">
            <w:pPr>
              <w:jc w:val="lef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Pr>
                <w:rFonts w:asciiTheme="majorHAnsi" w:eastAsia="Times New Roman" w:hAnsiTheme="majorHAnsi" w:cstheme="majorHAnsi"/>
                <w:color w:val="000000"/>
                <w:spacing w:val="0"/>
                <w:sz w:val="18"/>
                <w:szCs w:val="18"/>
                <w:lang w:eastAsia="cs-CZ" w:bidi="ar-SA"/>
              </w:rPr>
              <w:t>Ostatní jsou relevantní k uvedenému specifickému cíli. Dva z nich již přesáhly cílovou hodnotu a meziroční dynamika třetího opravňuje k závěru, že cílové hodnoty bude pravděpodobně dosaženo.</w:t>
            </w:r>
          </w:p>
        </w:tc>
      </w:tr>
    </w:tbl>
    <w:p w14:paraId="52827BC0" w14:textId="77777777" w:rsidR="00A33BBC" w:rsidRPr="00C149A9" w:rsidRDefault="00A33BBC" w:rsidP="00A33BBC">
      <w:pPr>
        <w:rPr>
          <w:b/>
          <w:u w:val="single"/>
          <w:lang w:bidi="ar-SA"/>
        </w:rPr>
      </w:pPr>
      <w:r w:rsidRPr="00C149A9">
        <w:rPr>
          <w:b/>
          <w:u w:val="single"/>
          <w:lang w:bidi="ar-SA"/>
        </w:rPr>
        <w:t>TRIO (MPO)</w:t>
      </w:r>
    </w:p>
    <w:p w14:paraId="72D261D8" w14:textId="77777777" w:rsidR="00780DF8" w:rsidRDefault="00780DF8" w:rsidP="00780DF8">
      <w:pPr>
        <w:rPr>
          <w:lang w:bidi="ar-SA"/>
        </w:rPr>
      </w:pPr>
      <w:r>
        <w:rPr>
          <w:lang w:bidi="ar-SA"/>
        </w:rPr>
        <w:t>Podíl programu při naplňování Národní RIS3 strategie (rozsah podřízenosti) je stanoven na úrovni 80 %. Sledované indikátory přispívají k naplnění všech níže uvedených specifických cílů Národní RIS3 strategie souhrnně, přičemž poměr jejich příspěvku (vah) k jednotlivým specifickým cílům je uveden v závorce.</w:t>
      </w:r>
    </w:p>
    <w:p w14:paraId="0C00874B" w14:textId="77777777" w:rsidR="00A33BBC" w:rsidRDefault="00A33BBC" w:rsidP="00A33BBC">
      <w:pPr>
        <w:contextualSpacing/>
        <w:rPr>
          <w:lang w:bidi="ar-SA"/>
        </w:rPr>
      </w:pPr>
      <w:r>
        <w:rPr>
          <w:lang w:bidi="ar-SA"/>
        </w:rPr>
        <w:t>A.1.1: Posílit výzkumné a vývojové kapacity podniků (10</w:t>
      </w:r>
      <w:r w:rsidR="00780DF8">
        <w:rPr>
          <w:lang w:bidi="ar-SA"/>
        </w:rPr>
        <w:t xml:space="preserve"> </w:t>
      </w:r>
      <w:r>
        <w:rPr>
          <w:lang w:bidi="ar-SA"/>
        </w:rPr>
        <w:t>%)</w:t>
      </w:r>
    </w:p>
    <w:p w14:paraId="0B530A69" w14:textId="77777777" w:rsidR="00A33BBC" w:rsidRDefault="00A33BBC" w:rsidP="00A33BBC">
      <w:pPr>
        <w:contextualSpacing/>
        <w:rPr>
          <w:lang w:bidi="ar-SA"/>
        </w:rPr>
      </w:pPr>
      <w:r>
        <w:rPr>
          <w:lang w:bidi="ar-SA"/>
        </w:rPr>
        <w:t>A.1.3: Posílit technologickou spolupráci firem (20</w:t>
      </w:r>
      <w:r w:rsidR="00780DF8">
        <w:rPr>
          <w:lang w:bidi="ar-SA"/>
        </w:rPr>
        <w:t xml:space="preserve"> </w:t>
      </w:r>
      <w:r>
        <w:rPr>
          <w:lang w:bidi="ar-SA"/>
        </w:rPr>
        <w:t>%)</w:t>
      </w:r>
    </w:p>
    <w:p w14:paraId="0BC32089" w14:textId="77777777" w:rsidR="00A33BBC" w:rsidRDefault="00A33BBC" w:rsidP="00A33BBC">
      <w:pPr>
        <w:rPr>
          <w:lang w:bidi="ar-SA"/>
        </w:rPr>
      </w:pPr>
      <w:r>
        <w:rPr>
          <w:lang w:bidi="ar-SA"/>
        </w:rPr>
        <w:t>C.1.1: Posílit spolupráci a interakci mezi VO a aplikační sférou (70</w:t>
      </w:r>
      <w:r w:rsidR="00780DF8">
        <w:rPr>
          <w:lang w:bidi="ar-SA"/>
        </w:rPr>
        <w:t xml:space="preserve"> </w:t>
      </w:r>
      <w:r>
        <w:rPr>
          <w:lang w:bidi="ar-SA"/>
        </w:rPr>
        <w:t>%)</w:t>
      </w:r>
    </w:p>
    <w:p w14:paraId="57C3D8B2" w14:textId="77777777" w:rsidR="00A33BBC" w:rsidRDefault="00A33BBC" w:rsidP="00A33BBC">
      <w:pPr>
        <w:spacing w:before="0" w:after="0" w:line="240" w:lineRule="auto"/>
        <w:rPr>
          <w:rFonts w:eastAsia="Times New Roman" w:cs="Calibri"/>
          <w:color w:val="000000"/>
          <w:spacing w:val="0"/>
          <w:szCs w:val="22"/>
          <w:lang w:eastAsia="cs-CZ" w:bidi="ar-SA"/>
        </w:rPr>
      </w:pPr>
      <w:bookmarkStart w:id="83" w:name="_Toc5626506"/>
      <w:r w:rsidRPr="00570F07">
        <w:rPr>
          <w:b/>
          <w:szCs w:val="22"/>
        </w:rPr>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23</w:t>
      </w:r>
      <w:r w:rsidR="008A090D" w:rsidRPr="00570F07">
        <w:rPr>
          <w:b/>
          <w:szCs w:val="22"/>
        </w:rPr>
        <w:fldChar w:fldCharType="end"/>
      </w:r>
      <w:r w:rsidRPr="00570F07">
        <w:rPr>
          <w:b/>
          <w:szCs w:val="22"/>
        </w:rPr>
        <w:t xml:space="preserve"> </w:t>
      </w:r>
      <w:r>
        <w:rPr>
          <w:b/>
          <w:szCs w:val="22"/>
        </w:rPr>
        <w:t>–</w:t>
      </w:r>
      <w:r w:rsidRPr="00570F07">
        <w:rPr>
          <w:b/>
          <w:szCs w:val="22"/>
        </w:rPr>
        <w:t xml:space="preserve"> </w:t>
      </w:r>
      <w:r w:rsidRPr="00F860BD">
        <w:rPr>
          <w:rFonts w:eastAsia="Times New Roman" w:cs="Calibri"/>
          <w:color w:val="000000"/>
          <w:spacing w:val="0"/>
          <w:szCs w:val="22"/>
          <w:lang w:eastAsia="cs-CZ" w:bidi="ar-SA"/>
        </w:rPr>
        <w:t xml:space="preserve">Indikátory specifických cílů </w:t>
      </w:r>
      <w:r>
        <w:rPr>
          <w:rFonts w:eastAsia="Times New Roman" w:cs="Calibri"/>
          <w:color w:val="000000"/>
          <w:spacing w:val="0"/>
          <w:szCs w:val="22"/>
          <w:lang w:eastAsia="cs-CZ" w:bidi="ar-SA"/>
        </w:rPr>
        <w:t>v programu TRIO</w:t>
      </w:r>
      <w:bookmarkEnd w:id="83"/>
    </w:p>
    <w:tbl>
      <w:tblPr>
        <w:tblStyle w:val="Mkatabulky"/>
        <w:tblW w:w="92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16"/>
        <w:gridCol w:w="3381"/>
      </w:tblGrid>
      <w:tr w:rsidR="00A33BBC" w:rsidRPr="00C06350" w14:paraId="58ED5AF9" w14:textId="77777777" w:rsidTr="00F10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16" w:type="dxa"/>
          </w:tcPr>
          <w:p w14:paraId="0F5D15F5" w14:textId="77777777" w:rsidR="00A33BBC" w:rsidRDefault="00A33BBC" w:rsidP="00F10A9D">
            <w:pPr>
              <w:spacing w:before="0" w:after="0" w:line="240" w:lineRule="auto"/>
              <w:jc w:val="left"/>
              <w:rPr>
                <w:rFonts w:eastAsia="Times New Roman" w:cs="Calibri"/>
                <w:b/>
                <w:color w:val="000000"/>
                <w:spacing w:val="0"/>
                <w:szCs w:val="22"/>
                <w:lang w:eastAsia="cs-CZ" w:bidi="ar-SA"/>
              </w:rPr>
            </w:pPr>
            <w:r w:rsidRPr="00824B41">
              <w:rPr>
                <w:noProof/>
                <w:lang w:eastAsia="cs-CZ" w:bidi="ar-SA"/>
              </w:rPr>
              <w:drawing>
                <wp:inline distT="0" distB="0" distL="0" distR="0" wp14:anchorId="5572A663" wp14:editId="2A661482">
                  <wp:extent cx="3600000" cy="1069096"/>
                  <wp:effectExtent l="19050" t="0" r="450" b="0"/>
                  <wp:docPr id="17"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a:srcRect/>
                          <a:stretch>
                            <a:fillRect/>
                          </a:stretch>
                        </pic:blipFill>
                        <pic:spPr bwMode="auto">
                          <a:xfrm>
                            <a:off x="0" y="0"/>
                            <a:ext cx="3600000" cy="1069096"/>
                          </a:xfrm>
                          <a:prstGeom prst="rect">
                            <a:avLst/>
                          </a:prstGeom>
                          <a:noFill/>
                          <a:ln w="9525">
                            <a:noFill/>
                            <a:miter lim="800000"/>
                            <a:headEnd/>
                            <a:tailEnd/>
                          </a:ln>
                        </pic:spPr>
                      </pic:pic>
                    </a:graphicData>
                  </a:graphic>
                </wp:inline>
              </w:drawing>
            </w:r>
          </w:p>
          <w:p w14:paraId="0120240F" w14:textId="77777777" w:rsidR="00A33BBC" w:rsidRPr="00F40DC7" w:rsidRDefault="00A33BBC" w:rsidP="00F10A9D">
            <w:pPr>
              <w:spacing w:before="0" w:after="0" w:line="240" w:lineRule="auto"/>
              <w:jc w:val="left"/>
              <w:rPr>
                <w:rFonts w:asciiTheme="majorHAnsi" w:eastAsia="Times New Roman" w:hAnsiTheme="majorHAnsi" w:cstheme="majorHAnsi"/>
                <w:b/>
                <w:color w:val="000000"/>
                <w:spacing w:val="0"/>
                <w:szCs w:val="22"/>
                <w:lang w:eastAsia="cs-CZ" w:bidi="ar-SA"/>
              </w:rPr>
            </w:pPr>
            <w:r w:rsidRPr="00F40DC7">
              <w:rPr>
                <w:rFonts w:asciiTheme="majorHAnsi" w:hAnsiTheme="majorHAnsi" w:cstheme="majorHAnsi"/>
                <w:sz w:val="18"/>
                <w:szCs w:val="18"/>
                <w:lang w:bidi="ar-SA"/>
              </w:rPr>
              <w:t>Zdroj: monitoring MPO, vlastní zpracování</w:t>
            </w:r>
          </w:p>
        </w:tc>
        <w:tc>
          <w:tcPr>
            <w:tcW w:w="3381" w:type="dxa"/>
            <w:vAlign w:val="top"/>
          </w:tcPr>
          <w:p w14:paraId="491414F0" w14:textId="77777777" w:rsidR="00A33BBC" w:rsidRDefault="00A33BBC" w:rsidP="00F10A9D">
            <w:pPr>
              <w:spacing w:before="0"/>
              <w:jc w:val="lef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Pr>
                <w:rFonts w:asciiTheme="majorHAnsi" w:eastAsia="Times New Roman" w:hAnsiTheme="majorHAnsi" w:cstheme="majorHAnsi"/>
                <w:color w:val="000000"/>
                <w:spacing w:val="0"/>
                <w:sz w:val="18"/>
                <w:szCs w:val="18"/>
                <w:lang w:eastAsia="cs-CZ" w:bidi="ar-SA"/>
              </w:rPr>
              <w:t>Ze třech sledovaných indikátorů je naplněna cílová hodnota pouze v počtu podpořených subjektů bez vazby na výsledek této podpory.</w:t>
            </w:r>
          </w:p>
          <w:p w14:paraId="22740B97" w14:textId="77777777" w:rsidR="00A33BBC" w:rsidRPr="00C06350" w:rsidRDefault="00A33BBC" w:rsidP="00F10A9D">
            <w:pPr>
              <w:spacing w:after="0"/>
              <w:jc w:val="lef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pacing w:val="0"/>
                <w:sz w:val="18"/>
                <w:szCs w:val="18"/>
                <w:lang w:eastAsia="cs-CZ" w:bidi="ar-SA"/>
              </w:rPr>
            </w:pPr>
            <w:r>
              <w:rPr>
                <w:rFonts w:asciiTheme="majorHAnsi" w:eastAsia="Times New Roman" w:hAnsiTheme="majorHAnsi" w:cstheme="majorHAnsi"/>
                <w:color w:val="000000"/>
                <w:spacing w:val="0"/>
                <w:sz w:val="18"/>
                <w:szCs w:val="18"/>
                <w:lang w:eastAsia="cs-CZ" w:bidi="ar-SA"/>
              </w:rPr>
              <w:t>Zbývající dva indikátory zdaleka nedosahují cílových hodnot, i když z hlediska svého charakteru je lze označit za relevantní k uvedeným specifickým cílům Národní RIS3 strategie.</w:t>
            </w:r>
          </w:p>
        </w:tc>
      </w:tr>
    </w:tbl>
    <w:p w14:paraId="24C7E85D" w14:textId="77777777" w:rsidR="00FC7850" w:rsidRDefault="00FC7850" w:rsidP="008521FF">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p>
    <w:p w14:paraId="2429EC76" w14:textId="77777777" w:rsidR="00A33BBC" w:rsidRPr="008521FF" w:rsidRDefault="00AA2EC2" w:rsidP="008521FF">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bookmarkStart w:id="84" w:name="_Toc5626465"/>
      <w:r w:rsidRPr="008521FF">
        <w:rPr>
          <w:rFonts w:asciiTheme="majorHAnsi" w:eastAsiaTheme="majorEastAsia" w:hAnsiTheme="majorHAnsi" w:cstheme="majorHAnsi"/>
          <w:i/>
          <w:caps/>
          <w:color w:val="004B8D"/>
          <w:spacing w:val="0"/>
          <w:sz w:val="22"/>
          <w:lang w:bidi="ar-SA"/>
        </w:rPr>
        <w:t>dílčí závěry</w:t>
      </w:r>
      <w:r w:rsidR="00040813">
        <w:rPr>
          <w:rFonts w:asciiTheme="majorHAnsi" w:eastAsiaTheme="majorEastAsia" w:hAnsiTheme="majorHAnsi" w:cstheme="majorHAnsi"/>
          <w:i/>
          <w:caps/>
          <w:color w:val="004B8D"/>
          <w:spacing w:val="0"/>
          <w:sz w:val="22"/>
          <w:lang w:bidi="ar-SA"/>
        </w:rPr>
        <w:t xml:space="preserve"> k evaluačnímu okruhu II.</w:t>
      </w:r>
      <w:bookmarkEnd w:id="84"/>
      <w:r w:rsidR="00040813">
        <w:rPr>
          <w:rFonts w:asciiTheme="majorHAnsi" w:eastAsiaTheme="majorEastAsia" w:hAnsiTheme="majorHAnsi" w:cstheme="majorHAnsi"/>
          <w:i/>
          <w:caps/>
          <w:color w:val="004B8D"/>
          <w:spacing w:val="0"/>
          <w:sz w:val="22"/>
          <w:lang w:bidi="ar-SA"/>
        </w:rPr>
        <w:t xml:space="preserve"> </w:t>
      </w:r>
    </w:p>
    <w:p w14:paraId="776138F0" w14:textId="17A0211B" w:rsidR="00C05098" w:rsidRDefault="008B7BF8" w:rsidP="00FB32B1">
      <w:pPr>
        <w:pBdr>
          <w:top w:val="single" w:sz="4" w:space="1" w:color="auto"/>
          <w:left w:val="single" w:sz="4" w:space="4" w:color="auto"/>
          <w:bottom w:val="single" w:sz="4" w:space="1" w:color="auto"/>
          <w:right w:val="single" w:sz="4" w:space="4" w:color="auto"/>
        </w:pBdr>
        <w:shd w:val="clear" w:color="auto" w:fill="D9D9D9" w:themeFill="background1" w:themeFillShade="D9"/>
        <w:rPr>
          <w:lang w:bidi="ar-SA"/>
        </w:rPr>
      </w:pPr>
      <w:r>
        <w:rPr>
          <w:lang w:bidi="ar-SA"/>
        </w:rPr>
        <w:t>Vzhledem k aktuálnímu nastavení monitorovacích systémů MS2014+ a IS VaVaI je nastavení monitoringu Národní RIS3 strategie komplikované</w:t>
      </w:r>
      <w:r w:rsidR="00AA2EC2" w:rsidRPr="00AA2EC2">
        <w:rPr>
          <w:lang w:bidi="ar-SA"/>
        </w:rPr>
        <w:t xml:space="preserve">. </w:t>
      </w:r>
      <w:r w:rsidR="00C05098">
        <w:rPr>
          <w:lang w:bidi="ar-SA"/>
        </w:rPr>
        <w:t xml:space="preserve">Ani jeden z monitorovacích systémů (MS2014+, IS VaVaI) </w:t>
      </w:r>
      <w:r w:rsidR="00C05098" w:rsidRPr="00A87463">
        <w:rPr>
          <w:b/>
          <w:lang w:bidi="ar-SA"/>
        </w:rPr>
        <w:t>nesleduje</w:t>
      </w:r>
      <w:r w:rsidR="00C05098">
        <w:rPr>
          <w:lang w:bidi="ar-SA"/>
        </w:rPr>
        <w:t xml:space="preserve"> u podpořených projektů, z jaké </w:t>
      </w:r>
      <w:r w:rsidR="00C05098" w:rsidRPr="00A87463">
        <w:rPr>
          <w:b/>
          <w:lang w:bidi="ar-SA"/>
        </w:rPr>
        <w:t>znalostní domény</w:t>
      </w:r>
      <w:r w:rsidR="00C05098">
        <w:rPr>
          <w:lang w:bidi="ar-SA"/>
        </w:rPr>
        <w:t xml:space="preserve"> poznatky využívá, s jakou </w:t>
      </w:r>
      <w:r w:rsidR="00A87463">
        <w:rPr>
          <w:lang w:bidi="ar-SA"/>
        </w:rPr>
        <w:t>i</w:t>
      </w:r>
      <w:r w:rsidR="00C05098">
        <w:rPr>
          <w:lang w:bidi="ar-SA"/>
        </w:rPr>
        <w:t xml:space="preserve">ntenzitou a jaké efekty jejich přenos </w:t>
      </w:r>
      <w:r w:rsidR="00C05098" w:rsidRPr="00A87463">
        <w:rPr>
          <w:b/>
          <w:lang w:bidi="ar-SA"/>
        </w:rPr>
        <w:t>do aplikační praxe</w:t>
      </w:r>
      <w:r w:rsidR="00C05098">
        <w:rPr>
          <w:lang w:bidi="ar-SA"/>
        </w:rPr>
        <w:t xml:space="preserve"> přináší.</w:t>
      </w:r>
    </w:p>
    <w:p w14:paraId="67D259BA" w14:textId="5EB86523" w:rsidR="00E3052F" w:rsidRDefault="00C05098" w:rsidP="00FB32B1">
      <w:pPr>
        <w:pBdr>
          <w:top w:val="single" w:sz="4" w:space="1" w:color="auto"/>
          <w:left w:val="single" w:sz="4" w:space="4" w:color="auto"/>
          <w:bottom w:val="single" w:sz="4" w:space="1" w:color="auto"/>
          <w:right w:val="single" w:sz="4" w:space="4" w:color="auto"/>
        </w:pBdr>
        <w:shd w:val="clear" w:color="auto" w:fill="D9D9D9" w:themeFill="background1" w:themeFillShade="D9"/>
        <w:rPr>
          <w:lang w:bidi="ar-SA"/>
        </w:rPr>
      </w:pPr>
      <w:r>
        <w:rPr>
          <w:lang w:bidi="ar-SA"/>
        </w:rPr>
        <w:t>Velká část sledovaných indikátorů má charakter výstupu (počet podpořených) a výsledkové indikátory mají vazbu na příslušný operační program</w:t>
      </w:r>
      <w:r w:rsidR="00FB32B1">
        <w:rPr>
          <w:lang w:bidi="ar-SA"/>
        </w:rPr>
        <w:t>, avšak</w:t>
      </w:r>
      <w:r>
        <w:rPr>
          <w:lang w:bidi="ar-SA"/>
        </w:rPr>
        <w:t xml:space="preserve"> </w:t>
      </w:r>
      <w:r w:rsidR="00E3052F">
        <w:rPr>
          <w:lang w:bidi="ar-SA"/>
        </w:rPr>
        <w:t>jejich relevance k cílům</w:t>
      </w:r>
      <w:r>
        <w:rPr>
          <w:lang w:bidi="ar-SA"/>
        </w:rPr>
        <w:t xml:space="preserve"> Národní RIS3 strategie</w:t>
      </w:r>
      <w:r w:rsidR="00E3052F">
        <w:rPr>
          <w:lang w:bidi="ar-SA"/>
        </w:rPr>
        <w:t xml:space="preserve"> je sla</w:t>
      </w:r>
      <w:r w:rsidR="008B7BF8">
        <w:rPr>
          <w:lang w:bidi="ar-SA"/>
        </w:rPr>
        <w:t>bší</w:t>
      </w:r>
      <w:r w:rsidR="00E3052F">
        <w:rPr>
          <w:lang w:bidi="ar-SA"/>
        </w:rPr>
        <w:t xml:space="preserve">. </w:t>
      </w:r>
    </w:p>
    <w:p w14:paraId="0BC92F3B" w14:textId="77777777" w:rsidR="00AA2EC2" w:rsidRPr="00AA2EC2" w:rsidRDefault="00A87463" w:rsidP="00FB32B1">
      <w:pPr>
        <w:pBdr>
          <w:top w:val="single" w:sz="4" w:space="1" w:color="auto"/>
          <w:left w:val="single" w:sz="4" w:space="4" w:color="auto"/>
          <w:bottom w:val="single" w:sz="4" w:space="1" w:color="auto"/>
          <w:right w:val="single" w:sz="4" w:space="4" w:color="auto"/>
        </w:pBdr>
        <w:shd w:val="clear" w:color="auto" w:fill="D9D9D9" w:themeFill="background1" w:themeFillShade="D9"/>
        <w:rPr>
          <w:lang w:bidi="ar-SA"/>
        </w:rPr>
      </w:pPr>
      <w:r>
        <w:rPr>
          <w:lang w:bidi="ar-SA"/>
        </w:rPr>
        <w:lastRenderedPageBreak/>
        <w:t xml:space="preserve">Zástupcům analytického týmu (Oddělení strategie S3, MPO) </w:t>
      </w:r>
      <w:r w:rsidRPr="00B1386D">
        <w:rPr>
          <w:b/>
          <w:lang w:bidi="ar-SA"/>
        </w:rPr>
        <w:t xml:space="preserve">není zpřístupněn </w:t>
      </w:r>
      <w:r w:rsidR="00F73C3A" w:rsidRPr="00B1386D">
        <w:rPr>
          <w:b/>
          <w:lang w:bidi="ar-SA"/>
        </w:rPr>
        <w:t>MS2014+</w:t>
      </w:r>
      <w:r>
        <w:rPr>
          <w:lang w:bidi="ar-SA"/>
        </w:rPr>
        <w:t>, musí se spoléhat na data poskytnutá jednotlivými řídicími orgány. K</w:t>
      </w:r>
      <w:r w:rsidR="00AA2EC2" w:rsidRPr="00AA2EC2">
        <w:rPr>
          <w:lang w:bidi="ar-SA"/>
        </w:rPr>
        <w:t xml:space="preserve">valitativní analýzu přínosů jednotlivých operačních programů k realizaci Národní RIS3 strategie nelze provést pro </w:t>
      </w:r>
      <w:r w:rsidR="00AA2EC2" w:rsidRPr="00B1386D">
        <w:rPr>
          <w:b/>
          <w:lang w:bidi="ar-SA"/>
        </w:rPr>
        <w:t xml:space="preserve">nedostupnost </w:t>
      </w:r>
      <w:r w:rsidRPr="00B1386D">
        <w:rPr>
          <w:b/>
          <w:lang w:bidi="ar-SA"/>
        </w:rPr>
        <w:t xml:space="preserve">detailních </w:t>
      </w:r>
      <w:r w:rsidR="00AA2EC2" w:rsidRPr="00B1386D">
        <w:rPr>
          <w:b/>
          <w:lang w:bidi="ar-SA"/>
        </w:rPr>
        <w:t>dat</w:t>
      </w:r>
      <w:r w:rsidR="00AA2EC2" w:rsidRPr="00AA2EC2">
        <w:rPr>
          <w:lang w:bidi="ar-SA"/>
        </w:rPr>
        <w:t xml:space="preserve"> o konkrétních projektech</w:t>
      </w:r>
      <w:r>
        <w:rPr>
          <w:lang w:bidi="ar-SA"/>
        </w:rPr>
        <w:t xml:space="preserve"> (přesné zacílení, </w:t>
      </w:r>
      <w:r w:rsidRPr="00B1386D">
        <w:rPr>
          <w:b/>
          <w:lang w:bidi="ar-SA"/>
        </w:rPr>
        <w:t>příslušnost ke znalostní doméně a průnik aplikačního odvětví</w:t>
      </w:r>
      <w:r>
        <w:rPr>
          <w:lang w:bidi="ar-SA"/>
        </w:rPr>
        <w:t>)</w:t>
      </w:r>
      <w:r w:rsidR="00AA2EC2" w:rsidRPr="00AA2EC2">
        <w:rPr>
          <w:lang w:bidi="ar-SA"/>
        </w:rPr>
        <w:t xml:space="preserve">. </w:t>
      </w:r>
    </w:p>
    <w:p w14:paraId="4025AB2C" w14:textId="77777777" w:rsidR="00AA2EC2" w:rsidRPr="00AA2EC2" w:rsidRDefault="006D5E01" w:rsidP="00FB32B1">
      <w:pPr>
        <w:pBdr>
          <w:top w:val="single" w:sz="4" w:space="1" w:color="auto"/>
          <w:left w:val="single" w:sz="4" w:space="4" w:color="auto"/>
          <w:bottom w:val="single" w:sz="4" w:space="1" w:color="auto"/>
          <w:right w:val="single" w:sz="4" w:space="4" w:color="auto"/>
        </w:pBdr>
        <w:shd w:val="clear" w:color="auto" w:fill="D9D9D9" w:themeFill="background1" w:themeFillShade="D9"/>
        <w:rPr>
          <w:lang w:bidi="ar-SA"/>
        </w:rPr>
      </w:pPr>
      <w:r>
        <w:rPr>
          <w:lang w:bidi="ar-SA"/>
        </w:rPr>
        <w:t>Ověření</w:t>
      </w:r>
      <w:r w:rsidR="00AA2EC2" w:rsidRPr="00AA2EC2">
        <w:rPr>
          <w:lang w:bidi="ar-SA"/>
        </w:rPr>
        <w:t>, do jaké míry věcné plnění projektů financovaných z operačních programů</w:t>
      </w:r>
      <w:r>
        <w:rPr>
          <w:lang w:bidi="ar-SA"/>
        </w:rPr>
        <w:t xml:space="preserve"> a národních programů podpory </w:t>
      </w:r>
      <w:r w:rsidR="00AA2EC2" w:rsidRPr="00AA2EC2">
        <w:rPr>
          <w:lang w:bidi="ar-SA"/>
        </w:rPr>
        <w:t xml:space="preserve">skutečně k dosažení strategických a specifických cílů </w:t>
      </w:r>
      <w:r>
        <w:rPr>
          <w:lang w:bidi="ar-SA"/>
        </w:rPr>
        <w:t xml:space="preserve">Národní RIS3 strategie </w:t>
      </w:r>
      <w:r w:rsidR="00AA2EC2" w:rsidRPr="00AA2EC2">
        <w:rPr>
          <w:lang w:bidi="ar-SA"/>
        </w:rPr>
        <w:t>přispěly</w:t>
      </w:r>
      <w:r>
        <w:rPr>
          <w:lang w:bidi="ar-SA"/>
        </w:rPr>
        <w:t>, je s ohledem na omezenou dostupnost dat problematické</w:t>
      </w:r>
      <w:r w:rsidR="00AA2EC2" w:rsidRPr="00AA2EC2">
        <w:rPr>
          <w:lang w:bidi="ar-SA"/>
        </w:rPr>
        <w:t>.</w:t>
      </w:r>
      <w:r w:rsidR="00E3052F">
        <w:rPr>
          <w:lang w:bidi="ar-SA"/>
        </w:rPr>
        <w:t xml:space="preserve"> </w:t>
      </w:r>
    </w:p>
    <w:p w14:paraId="00248E6E" w14:textId="6FCD9E21" w:rsidR="00F73C3A" w:rsidRDefault="00F73C3A" w:rsidP="00FB32B1">
      <w:pPr>
        <w:pBdr>
          <w:top w:val="single" w:sz="4" w:space="1" w:color="auto"/>
          <w:left w:val="single" w:sz="4" w:space="4" w:color="auto"/>
          <w:bottom w:val="single" w:sz="4" w:space="1" w:color="auto"/>
          <w:right w:val="single" w:sz="4" w:space="4" w:color="auto"/>
        </w:pBdr>
        <w:shd w:val="clear" w:color="auto" w:fill="D9D9D9" w:themeFill="background1" w:themeFillShade="D9"/>
        <w:rPr>
          <w:lang w:bidi="ar-SA"/>
        </w:rPr>
      </w:pPr>
    </w:p>
    <w:p w14:paraId="1578C477" w14:textId="77777777" w:rsidR="009976F3" w:rsidRDefault="009976F3" w:rsidP="00FB32B1">
      <w:pPr>
        <w:pBdr>
          <w:top w:val="single" w:sz="4" w:space="1" w:color="auto"/>
          <w:left w:val="single" w:sz="4" w:space="4" w:color="auto"/>
          <w:bottom w:val="single" w:sz="4" w:space="1" w:color="auto"/>
          <w:right w:val="single" w:sz="4" w:space="4" w:color="auto"/>
        </w:pBdr>
        <w:shd w:val="clear" w:color="auto" w:fill="D9D9D9" w:themeFill="background1" w:themeFillShade="D9"/>
        <w:rPr>
          <w:lang w:bidi="ar-SA"/>
        </w:rPr>
      </w:pPr>
      <w:r>
        <w:rPr>
          <w:lang w:bidi="ar-SA"/>
        </w:rPr>
        <w:t xml:space="preserve">Pro to, aby se předešlo opakování této situace i v příštím programovacím období, je nezbytně nutné, aby </w:t>
      </w:r>
      <w:r w:rsidR="001F2BF7">
        <w:rPr>
          <w:lang w:bidi="ar-SA"/>
        </w:rPr>
        <w:t xml:space="preserve">bylo </w:t>
      </w:r>
      <w:r>
        <w:rPr>
          <w:lang w:bidi="ar-SA"/>
        </w:rPr>
        <w:t>zástupc</w:t>
      </w:r>
      <w:r w:rsidR="001F2BF7">
        <w:rPr>
          <w:lang w:bidi="ar-SA"/>
        </w:rPr>
        <w:t>ům</w:t>
      </w:r>
      <w:r>
        <w:rPr>
          <w:lang w:bidi="ar-SA"/>
        </w:rPr>
        <w:t xml:space="preserve"> nositele Národní RIS3 strategie</w:t>
      </w:r>
      <w:r>
        <w:rPr>
          <w:rStyle w:val="Znakapoznpodarou"/>
          <w:lang w:bidi="ar-SA"/>
        </w:rPr>
        <w:footnoteReference w:id="49"/>
      </w:r>
      <w:r>
        <w:rPr>
          <w:lang w:bidi="ar-SA"/>
        </w:rPr>
        <w:t xml:space="preserve"> </w:t>
      </w:r>
      <w:r w:rsidR="001F2BF7" w:rsidRPr="001F2BF7">
        <w:rPr>
          <w:b/>
          <w:lang w:bidi="ar-SA"/>
        </w:rPr>
        <w:t xml:space="preserve">umožněno </w:t>
      </w:r>
      <w:r w:rsidRPr="001F2BF7">
        <w:rPr>
          <w:b/>
          <w:lang w:bidi="ar-SA"/>
        </w:rPr>
        <w:t xml:space="preserve">aktivně </w:t>
      </w:r>
      <w:r w:rsidR="001F2BF7" w:rsidRPr="001F2BF7">
        <w:rPr>
          <w:b/>
          <w:lang w:bidi="ar-SA"/>
        </w:rPr>
        <w:t xml:space="preserve">se </w:t>
      </w:r>
      <w:r w:rsidRPr="001F2BF7">
        <w:rPr>
          <w:b/>
          <w:lang w:bidi="ar-SA"/>
        </w:rPr>
        <w:t>podíle</w:t>
      </w:r>
      <w:r w:rsidR="001F2BF7" w:rsidRPr="001F2BF7">
        <w:rPr>
          <w:b/>
          <w:lang w:bidi="ar-SA"/>
        </w:rPr>
        <w:t>t</w:t>
      </w:r>
      <w:r>
        <w:rPr>
          <w:lang w:bidi="ar-SA"/>
        </w:rPr>
        <w:t xml:space="preserve"> na přípravě indikátorové soustavy pro nové programové období </w:t>
      </w:r>
      <w:r w:rsidR="001F2BF7">
        <w:rPr>
          <w:lang w:bidi="ar-SA"/>
        </w:rPr>
        <w:t>a zejména, aby byly ze strany gestora problematiky ESIF (MMR</w:t>
      </w:r>
      <w:r w:rsidR="00874E6C">
        <w:rPr>
          <w:lang w:bidi="ar-SA"/>
        </w:rPr>
        <w:t>-NOK</w:t>
      </w:r>
      <w:r w:rsidR="001F2BF7">
        <w:rPr>
          <w:lang w:bidi="ar-SA"/>
        </w:rPr>
        <w:t xml:space="preserve">) vyslyšeny požadavky na úpravu MS2021+ tak, aby tento systém umožňoval </w:t>
      </w:r>
      <w:r w:rsidR="001F2BF7" w:rsidRPr="001F2BF7">
        <w:rPr>
          <w:b/>
          <w:lang w:bidi="ar-SA"/>
        </w:rPr>
        <w:t>agregovat data dle národních domén inteligentní specializace</w:t>
      </w:r>
      <w:r w:rsidR="001F2BF7">
        <w:rPr>
          <w:lang w:bidi="ar-SA"/>
        </w:rPr>
        <w:t xml:space="preserve"> (znalostní domény, aplikační odvětví). </w:t>
      </w:r>
    </w:p>
    <w:p w14:paraId="5515CD0B" w14:textId="77777777" w:rsidR="00A33BBC" w:rsidRDefault="00A33BBC">
      <w:pPr>
        <w:spacing w:before="0" w:after="0" w:line="240" w:lineRule="auto"/>
        <w:jc w:val="left"/>
        <w:rPr>
          <w:rFonts w:asciiTheme="majorHAnsi" w:eastAsiaTheme="majorEastAsia" w:hAnsiTheme="majorHAnsi" w:cstheme="majorBidi"/>
          <w:b/>
          <w:bCs/>
          <w:color w:val="004B8D"/>
          <w:spacing w:val="0"/>
          <w:sz w:val="32"/>
          <w:szCs w:val="32"/>
          <w:lang w:bidi="ar-SA"/>
        </w:rPr>
      </w:pPr>
      <w:r>
        <w:rPr>
          <w:rFonts w:asciiTheme="majorHAnsi" w:eastAsiaTheme="majorEastAsia" w:hAnsiTheme="majorHAnsi" w:cstheme="majorBidi"/>
          <w:color w:val="004B8D"/>
          <w:spacing w:val="0"/>
          <w:sz w:val="32"/>
          <w:szCs w:val="32"/>
          <w:lang w:bidi="ar-SA"/>
        </w:rPr>
        <w:br w:type="page"/>
      </w:r>
    </w:p>
    <w:p w14:paraId="4067EF9A" w14:textId="77777777" w:rsidR="0078648F" w:rsidRDefault="006107DB" w:rsidP="006C2E8D">
      <w:pPr>
        <w:pStyle w:val="Nadpis1"/>
        <w:numPr>
          <w:ilvl w:val="0"/>
          <w:numId w:val="0"/>
        </w:numPr>
        <w:pBdr>
          <w:top w:val="none" w:sz="0" w:space="0" w:color="auto"/>
          <w:left w:val="none" w:sz="0" w:space="0" w:color="auto"/>
        </w:pBdr>
        <w:rPr>
          <w:rFonts w:asciiTheme="majorHAnsi" w:eastAsiaTheme="majorEastAsia" w:hAnsiTheme="majorHAnsi" w:cstheme="majorBidi"/>
          <w:color w:val="004B8D"/>
          <w:spacing w:val="0"/>
          <w:sz w:val="32"/>
          <w:szCs w:val="32"/>
          <w:lang w:bidi="ar-SA"/>
        </w:rPr>
      </w:pPr>
      <w:bookmarkStart w:id="85" w:name="_Toc5626466"/>
      <w:r>
        <w:rPr>
          <w:rFonts w:asciiTheme="majorHAnsi" w:eastAsiaTheme="majorEastAsia" w:hAnsiTheme="majorHAnsi" w:cstheme="majorBidi"/>
          <w:color w:val="004B8D"/>
          <w:spacing w:val="0"/>
          <w:sz w:val="32"/>
          <w:szCs w:val="32"/>
          <w:lang w:bidi="ar-SA"/>
        </w:rPr>
        <w:lastRenderedPageBreak/>
        <w:t>5</w:t>
      </w:r>
      <w:r w:rsidR="0078648F" w:rsidRPr="0078648F">
        <w:rPr>
          <w:rFonts w:asciiTheme="majorHAnsi" w:eastAsiaTheme="majorEastAsia" w:hAnsiTheme="majorHAnsi" w:cstheme="majorBidi"/>
          <w:color w:val="004B8D"/>
          <w:spacing w:val="0"/>
          <w:sz w:val="32"/>
          <w:szCs w:val="32"/>
          <w:lang w:bidi="ar-SA"/>
        </w:rPr>
        <w:t>. Evaluační okruh III. - Naplňování krajských RIS3 strategií</w:t>
      </w:r>
      <w:bookmarkEnd w:id="85"/>
    </w:p>
    <w:p w14:paraId="6E5FB35F" w14:textId="77777777" w:rsidR="006C47AC" w:rsidRDefault="006107DB" w:rsidP="006C47AC">
      <w:pPr>
        <w:pStyle w:val="Nadpis2"/>
        <w:keepNext/>
        <w:keepLines/>
        <w:numPr>
          <w:ilvl w:val="0"/>
          <w:numId w:val="0"/>
        </w:numPr>
        <w:pBdr>
          <w:top w:val="none" w:sz="0" w:space="0" w:color="auto"/>
          <w:left w:val="none" w:sz="0" w:space="0" w:color="auto"/>
        </w:pBdr>
        <w:shd w:val="clear" w:color="auto" w:fill="auto"/>
        <w:spacing w:before="200" w:after="0"/>
        <w:rPr>
          <w:rFonts w:asciiTheme="majorHAnsi" w:eastAsiaTheme="majorEastAsia" w:hAnsiTheme="majorHAnsi" w:cstheme="majorBidi"/>
          <w:bCs/>
          <w:color w:val="004B8D"/>
          <w:spacing w:val="0"/>
          <w:szCs w:val="26"/>
          <w:lang w:bidi="ar-SA"/>
        </w:rPr>
      </w:pPr>
      <w:bookmarkStart w:id="86" w:name="_Toc5626467"/>
      <w:r>
        <w:rPr>
          <w:rFonts w:asciiTheme="majorHAnsi" w:eastAsiaTheme="majorEastAsia" w:hAnsiTheme="majorHAnsi" w:cstheme="majorBidi"/>
          <w:bCs/>
          <w:color w:val="004B8D"/>
          <w:spacing w:val="0"/>
          <w:szCs w:val="26"/>
          <w:lang w:bidi="ar-SA"/>
        </w:rPr>
        <w:t>5</w:t>
      </w:r>
      <w:r w:rsidR="006C47AC">
        <w:rPr>
          <w:rFonts w:asciiTheme="majorHAnsi" w:eastAsiaTheme="majorEastAsia" w:hAnsiTheme="majorHAnsi" w:cstheme="majorBidi"/>
          <w:bCs/>
          <w:color w:val="004B8D"/>
          <w:spacing w:val="0"/>
          <w:szCs w:val="26"/>
          <w:lang w:bidi="ar-SA"/>
        </w:rPr>
        <w:t>.1 Zapojení krajů do plnění Národní RIS3 strategie</w:t>
      </w:r>
      <w:bookmarkEnd w:id="86"/>
    </w:p>
    <w:p w14:paraId="687127D7" w14:textId="3E384695" w:rsidR="00801932" w:rsidRDefault="00801932" w:rsidP="00801932">
      <w:pPr>
        <w:rPr>
          <w:lang w:bidi="ar-SA"/>
        </w:rPr>
      </w:pPr>
      <w:r>
        <w:rPr>
          <w:lang w:bidi="ar-SA"/>
        </w:rPr>
        <w:t>Implementační struktura Národní RIS3 strategie předpokládá shodnou strukturu implementace krajských RIS3 strategií ve všech krajích, resp. fungování Krajské rady pro inovace</w:t>
      </w:r>
      <w:r w:rsidR="00FC7850">
        <w:rPr>
          <w:lang w:bidi="ar-SA"/>
        </w:rPr>
        <w:t xml:space="preserve"> (KRI)</w:t>
      </w:r>
      <w:r>
        <w:rPr>
          <w:lang w:bidi="ar-SA"/>
        </w:rPr>
        <w:t>, Krajské inovační platformy</w:t>
      </w:r>
      <w:r w:rsidR="00FC7850">
        <w:rPr>
          <w:lang w:bidi="ar-SA"/>
        </w:rPr>
        <w:t xml:space="preserve"> (KIP)</w:t>
      </w:r>
      <w:r>
        <w:rPr>
          <w:lang w:bidi="ar-SA"/>
        </w:rPr>
        <w:t xml:space="preserve">, Krajského RIS3 manažera a Krajského RIS3 koordinátora. Tento předpoklad se </w:t>
      </w:r>
      <w:r w:rsidR="006D5E01">
        <w:rPr>
          <w:lang w:bidi="ar-SA"/>
        </w:rPr>
        <w:t>v jednotlivých krajích naplnil v různé míře</w:t>
      </w:r>
      <w:r>
        <w:rPr>
          <w:lang w:bidi="ar-SA"/>
        </w:rPr>
        <w:t xml:space="preserve">. </w:t>
      </w:r>
      <w:r w:rsidR="006D5E01">
        <w:rPr>
          <w:lang w:bidi="ar-SA"/>
        </w:rPr>
        <w:t xml:space="preserve">V některých krajích fungují výše uvedené subjekty velmi dobře, v některých krajích je jejich funkčnost omezená. </w:t>
      </w:r>
      <w:r>
        <w:rPr>
          <w:lang w:bidi="ar-SA"/>
        </w:rPr>
        <w:t>Jedním z důvodů je historická zkušenost krajů s realizací Regionálních inovačních strategií, které byly v jednotlivých krajích vytvořeny a realizovány již několik let před vznikem konceptu S3 strategi</w:t>
      </w:r>
      <w:r w:rsidR="00A11984">
        <w:rPr>
          <w:lang w:bidi="ar-SA"/>
        </w:rPr>
        <w:t>e</w:t>
      </w:r>
      <w:r>
        <w:rPr>
          <w:lang w:bidi="ar-SA"/>
        </w:rPr>
        <w:t xml:space="preserve">, resp. před důrazem na důslednou specializaci na obory, v nichž lze nalézt excelenci a konkurenční výhodu. </w:t>
      </w:r>
    </w:p>
    <w:p w14:paraId="58124556" w14:textId="77777777" w:rsidR="00801932" w:rsidRPr="00801932" w:rsidRDefault="00801932" w:rsidP="00801932">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bookmarkStart w:id="87" w:name="_Toc5626468"/>
      <w:r>
        <w:rPr>
          <w:rFonts w:asciiTheme="majorHAnsi" w:eastAsiaTheme="majorEastAsia" w:hAnsiTheme="majorHAnsi" w:cstheme="majorHAnsi"/>
          <w:i/>
          <w:caps/>
          <w:color w:val="004B8D"/>
          <w:spacing w:val="0"/>
          <w:sz w:val="22"/>
          <w:lang w:bidi="ar-SA"/>
        </w:rPr>
        <w:t xml:space="preserve">5.1.1 </w:t>
      </w:r>
      <w:r w:rsidRPr="00801932">
        <w:rPr>
          <w:rFonts w:asciiTheme="majorHAnsi" w:eastAsiaTheme="majorEastAsia" w:hAnsiTheme="majorHAnsi" w:cstheme="majorHAnsi"/>
          <w:i/>
          <w:caps/>
          <w:color w:val="004B8D"/>
          <w:spacing w:val="0"/>
          <w:sz w:val="22"/>
          <w:lang w:bidi="ar-SA"/>
        </w:rPr>
        <w:t>Institucionální ukotvení realizace krajských RIS3 strategií</w:t>
      </w:r>
      <w:bookmarkEnd w:id="87"/>
    </w:p>
    <w:p w14:paraId="4FFAD31A" w14:textId="77777777" w:rsidR="00801932" w:rsidRDefault="00801932" w:rsidP="00801932">
      <w:pPr>
        <w:rPr>
          <w:lang w:bidi="ar-SA"/>
        </w:rPr>
      </w:pPr>
      <w:r>
        <w:rPr>
          <w:lang w:bidi="ar-SA"/>
        </w:rPr>
        <w:t xml:space="preserve">Při vzniku krajských příloh, resp. krajských RIS3 strategií, </w:t>
      </w:r>
      <w:r w:rsidR="001D3131">
        <w:rPr>
          <w:lang w:bidi="ar-SA"/>
        </w:rPr>
        <w:t xml:space="preserve">některé </w:t>
      </w:r>
      <w:r>
        <w:rPr>
          <w:lang w:bidi="ar-SA"/>
        </w:rPr>
        <w:t xml:space="preserve">kraje přistoupily k tomu, že svou Regionální inovační strategii prohlásily krajskou RIS3 strategií. To v některých krajích mělo za následek, že již existující institucionální zázemí ve formě různých pracovních skupin, rad a komisí na sebe formálně převzalo aktivity spojené s výkonem činnosti Rady pro inovace a Krajských inovačních platforem. V některých krajích proto Rady pro inovace můžeme najít pod jiným označením, totéž se týká Krajských inovačních platforem, které většinou mají podobu různě zaměřených pracovních skupin. </w:t>
      </w:r>
      <w:r w:rsidR="00A93330">
        <w:rPr>
          <w:lang w:bidi="ar-SA"/>
        </w:rPr>
        <w:t xml:space="preserve">To samo o sobě není na závadu, avšak zapojení stakeholdeři by měli být průběžně informováni o tom, že jsou součástí širšího konceptu Národní RIS3 strategie se všemi důsledky, které její implementace obnáší. To, že je tato informovanost velmi nízká se </w:t>
      </w:r>
      <w:r>
        <w:rPr>
          <w:lang w:bidi="ar-SA"/>
        </w:rPr>
        <w:t xml:space="preserve">ukázalo i při terénním šetření se členy krajských Rad pro inovace a Krajských inovačních platforem, resp. pracovních skupin. Ačkoliv byli respondenti na uvedenou diskrepanci v názvosloví upozorněni, stejně 22 % z těch, kteří se rozhodli vyplnit dotazník, uvedlo, že se nepodílejí na implementaci krajské RIS3 strategie. </w:t>
      </w:r>
    </w:p>
    <w:p w14:paraId="648164A2" w14:textId="77777777" w:rsidR="00801932" w:rsidRPr="00237CEB" w:rsidRDefault="001D3131" w:rsidP="00801932">
      <w:pPr>
        <w:rPr>
          <w:lang w:bidi="ar-SA"/>
        </w:rPr>
      </w:pPr>
      <w:r>
        <w:rPr>
          <w:lang w:bidi="ar-SA"/>
        </w:rPr>
        <w:t>Začlenění</w:t>
      </w:r>
      <w:r w:rsidR="00801932">
        <w:rPr>
          <w:lang w:bidi="ar-SA"/>
        </w:rPr>
        <w:t xml:space="preserve"> Regionálních inovačních strategií do podoby krajských RIS3 strategií se odrazila nejen v již zmiňované institucionální základně, ale také v obsahu krajských RIS3 strategií, kdy do krajských RIS3 strategií byly v převažující míře promítnuty horizontální cíle a</w:t>
      </w:r>
      <w:r w:rsidR="00B7430A">
        <w:rPr>
          <w:lang w:bidi="ar-SA"/>
        </w:rPr>
        <w:t>, stejně jako v Národní RIS3 strategii,</w:t>
      </w:r>
      <w:r w:rsidR="00801932">
        <w:rPr>
          <w:lang w:bidi="ar-SA"/>
        </w:rPr>
        <w:t xml:space="preserve"> nebyly </w:t>
      </w:r>
      <w:r>
        <w:rPr>
          <w:lang w:bidi="ar-SA"/>
        </w:rPr>
        <w:t xml:space="preserve">v některých krajích </w:t>
      </w:r>
      <w:r w:rsidR="00801932">
        <w:rPr>
          <w:lang w:bidi="ar-SA"/>
        </w:rPr>
        <w:t xml:space="preserve">dostatečně </w:t>
      </w:r>
      <w:r w:rsidR="00801932" w:rsidRPr="00237CEB">
        <w:rPr>
          <w:lang w:bidi="ar-SA"/>
        </w:rPr>
        <w:t xml:space="preserve">akcentovány cíle vertikální (specializace a prioritizace nosných technologií a odvětví). </w:t>
      </w:r>
    </w:p>
    <w:p w14:paraId="52FE9309" w14:textId="77777777" w:rsidR="00801932" w:rsidRDefault="00801932" w:rsidP="00801932">
      <w:pPr>
        <w:suppressAutoHyphens/>
        <w:autoSpaceDE w:val="0"/>
        <w:spacing w:after="120"/>
        <w:rPr>
          <w:rFonts w:asciiTheme="majorHAnsi" w:eastAsia="Geneva" w:hAnsiTheme="majorHAnsi"/>
          <w:bCs/>
          <w:iCs/>
        </w:rPr>
      </w:pPr>
      <w:r>
        <w:rPr>
          <w:rFonts w:asciiTheme="majorHAnsi" w:eastAsia="Geneva" w:hAnsiTheme="majorHAnsi"/>
          <w:bCs/>
          <w:iCs/>
        </w:rPr>
        <w:t xml:space="preserve">Co se týče implementace krajských RIS3 strategií, tak </w:t>
      </w:r>
      <w:r w:rsidR="0081603D">
        <w:rPr>
          <w:rFonts w:asciiTheme="majorHAnsi" w:eastAsia="Geneva" w:hAnsiTheme="majorHAnsi"/>
          <w:bCs/>
          <w:iCs/>
        </w:rPr>
        <w:t xml:space="preserve">z terénního šetření vyplynulo, že </w:t>
      </w:r>
      <w:r>
        <w:rPr>
          <w:rFonts w:asciiTheme="majorHAnsi" w:eastAsia="Geneva" w:hAnsiTheme="majorHAnsi"/>
          <w:bCs/>
          <w:iCs/>
        </w:rPr>
        <w:t>v</w:t>
      </w:r>
      <w:r w:rsidRPr="00237CEB">
        <w:rPr>
          <w:rFonts w:asciiTheme="majorHAnsi" w:eastAsia="Geneva" w:hAnsiTheme="majorHAnsi"/>
          <w:bCs/>
          <w:iCs/>
        </w:rPr>
        <w:t xml:space="preserve">ětšina </w:t>
      </w:r>
      <w:r w:rsidR="00B7430A">
        <w:rPr>
          <w:rFonts w:asciiTheme="majorHAnsi" w:eastAsia="Geneva" w:hAnsiTheme="majorHAnsi"/>
          <w:bCs/>
          <w:iCs/>
        </w:rPr>
        <w:t>stakeholderů, kteří se zapojili do dotazníkového šetření</w:t>
      </w:r>
      <w:r w:rsidRPr="00237CEB">
        <w:rPr>
          <w:rFonts w:asciiTheme="majorHAnsi" w:eastAsia="Geneva" w:hAnsiTheme="majorHAnsi"/>
          <w:bCs/>
          <w:iCs/>
        </w:rPr>
        <w:t xml:space="preserve"> (přes 90 %</w:t>
      </w:r>
      <w:r>
        <w:rPr>
          <w:rFonts w:asciiTheme="majorHAnsi" w:eastAsia="Geneva" w:hAnsiTheme="majorHAnsi"/>
          <w:bCs/>
          <w:iCs/>
        </w:rPr>
        <w:t>; N=90</w:t>
      </w:r>
      <w:r w:rsidRPr="00237CEB">
        <w:rPr>
          <w:rFonts w:asciiTheme="majorHAnsi" w:eastAsia="Geneva" w:hAnsiTheme="majorHAnsi"/>
          <w:bCs/>
          <w:iCs/>
        </w:rPr>
        <w:t xml:space="preserve">) hodnotí implementační strukturu </w:t>
      </w:r>
      <w:r>
        <w:rPr>
          <w:rFonts w:asciiTheme="majorHAnsi" w:eastAsia="Geneva" w:hAnsiTheme="majorHAnsi"/>
          <w:bCs/>
          <w:iCs/>
        </w:rPr>
        <w:t xml:space="preserve">„své“ </w:t>
      </w:r>
      <w:r w:rsidRPr="00237CEB">
        <w:rPr>
          <w:rFonts w:asciiTheme="majorHAnsi" w:eastAsia="Geneva" w:hAnsiTheme="majorHAnsi"/>
          <w:bCs/>
          <w:iCs/>
        </w:rPr>
        <w:t xml:space="preserve">krajské RIS3 strategie jako optimální, příp. s dílčími výhradami k součinnosti a komunikaci aktérů. Jen malá část respondentů nepovažuje implementační strukturu za optimálně nastavenou, přičemž nejčastější výhrady směřovaly k nedostatečnému </w:t>
      </w:r>
      <w:r w:rsidRPr="0081603D">
        <w:rPr>
          <w:rFonts w:asciiTheme="majorHAnsi" w:eastAsia="Geneva" w:hAnsiTheme="majorHAnsi"/>
          <w:b/>
          <w:bCs/>
          <w:iCs/>
        </w:rPr>
        <w:t>provázání krajských intervencí</w:t>
      </w:r>
      <w:r w:rsidRPr="00237CEB">
        <w:rPr>
          <w:rFonts w:asciiTheme="majorHAnsi" w:eastAsia="Geneva" w:hAnsiTheme="majorHAnsi"/>
          <w:bCs/>
          <w:iCs/>
        </w:rPr>
        <w:t xml:space="preserve"> s potřebami identifikovanými v krajských doménách specializace, taktéž byla zmiňována </w:t>
      </w:r>
      <w:r w:rsidR="001D3131">
        <w:rPr>
          <w:rFonts w:asciiTheme="majorHAnsi" w:eastAsia="Geneva" w:hAnsiTheme="majorHAnsi"/>
          <w:b/>
          <w:bCs/>
          <w:iCs/>
        </w:rPr>
        <w:t>omezená</w:t>
      </w:r>
      <w:r w:rsidR="001D3131" w:rsidRPr="0081603D">
        <w:rPr>
          <w:rFonts w:asciiTheme="majorHAnsi" w:eastAsia="Geneva" w:hAnsiTheme="majorHAnsi"/>
          <w:b/>
          <w:bCs/>
          <w:iCs/>
        </w:rPr>
        <w:t xml:space="preserve"> </w:t>
      </w:r>
      <w:r w:rsidR="001D3131">
        <w:rPr>
          <w:rFonts w:asciiTheme="majorHAnsi" w:eastAsia="Geneva" w:hAnsiTheme="majorHAnsi"/>
          <w:b/>
          <w:bCs/>
          <w:iCs/>
        </w:rPr>
        <w:t xml:space="preserve">osobní </w:t>
      </w:r>
      <w:r w:rsidRPr="0081603D">
        <w:rPr>
          <w:rFonts w:asciiTheme="majorHAnsi" w:eastAsia="Geneva" w:hAnsiTheme="majorHAnsi"/>
          <w:b/>
          <w:bCs/>
          <w:iCs/>
        </w:rPr>
        <w:t>komunikace</w:t>
      </w:r>
      <w:r w:rsidRPr="00237CEB">
        <w:rPr>
          <w:rFonts w:asciiTheme="majorHAnsi" w:eastAsia="Geneva" w:hAnsiTheme="majorHAnsi"/>
          <w:bCs/>
          <w:iCs/>
        </w:rPr>
        <w:t xml:space="preserve"> mezi krajskou a národní úrovní</w:t>
      </w:r>
      <w:r w:rsidR="001D3131">
        <w:rPr>
          <w:rFonts w:asciiTheme="majorHAnsi" w:eastAsia="Geneva" w:hAnsiTheme="majorHAnsi"/>
          <w:bCs/>
          <w:iCs/>
        </w:rPr>
        <w:t>.</w:t>
      </w:r>
      <w:r w:rsidRPr="00237CEB">
        <w:rPr>
          <w:rFonts w:asciiTheme="majorHAnsi" w:eastAsia="Geneva" w:hAnsiTheme="majorHAnsi"/>
          <w:bCs/>
          <w:iCs/>
        </w:rPr>
        <w:t xml:space="preserve"> </w:t>
      </w:r>
    </w:p>
    <w:p w14:paraId="0B5BA799" w14:textId="77777777" w:rsidR="00801932" w:rsidRPr="004923B3" w:rsidRDefault="00801932" w:rsidP="00801932">
      <w:pPr>
        <w:suppressAutoHyphens/>
        <w:autoSpaceDE w:val="0"/>
        <w:spacing w:after="120"/>
        <w:rPr>
          <w:rFonts w:asciiTheme="majorHAnsi" w:eastAsia="Geneva" w:hAnsiTheme="majorHAnsi"/>
          <w:bCs/>
          <w:iCs/>
        </w:rPr>
      </w:pPr>
      <w:r>
        <w:rPr>
          <w:rFonts w:asciiTheme="majorHAnsi" w:eastAsia="Geneva" w:hAnsiTheme="majorHAnsi"/>
          <w:bCs/>
          <w:iCs/>
        </w:rPr>
        <w:lastRenderedPageBreak/>
        <w:t xml:space="preserve">Je však potřeba podotknout, že v některých krajích nejsou krajské inovační platformy ustaveny, </w:t>
      </w:r>
      <w:r w:rsidR="001D3131">
        <w:rPr>
          <w:rFonts w:asciiTheme="majorHAnsi" w:eastAsia="Geneva" w:hAnsiTheme="majorHAnsi"/>
          <w:bCs/>
          <w:iCs/>
        </w:rPr>
        <w:t>v některých krajích, ačkoliv jsou ustaveny, nefungují optimálně</w:t>
      </w:r>
      <w:r>
        <w:rPr>
          <w:rFonts w:asciiTheme="majorHAnsi" w:eastAsia="Geneva" w:hAnsiTheme="majorHAnsi"/>
          <w:bCs/>
          <w:iCs/>
        </w:rPr>
        <w:t xml:space="preserve">. </w:t>
      </w:r>
      <w:r w:rsidR="001D3131">
        <w:rPr>
          <w:rFonts w:asciiTheme="majorHAnsi" w:eastAsia="Geneva" w:hAnsiTheme="majorHAnsi"/>
          <w:bCs/>
          <w:iCs/>
        </w:rPr>
        <w:t>Stejně tak</w:t>
      </w:r>
      <w:r>
        <w:rPr>
          <w:rFonts w:asciiTheme="majorHAnsi" w:eastAsia="Geneva" w:hAnsiTheme="majorHAnsi"/>
          <w:bCs/>
          <w:iCs/>
        </w:rPr>
        <w:t xml:space="preserve"> Krajské rady pro inovace </w:t>
      </w:r>
      <w:r w:rsidR="001D3131">
        <w:rPr>
          <w:rFonts w:asciiTheme="majorHAnsi" w:eastAsia="Geneva" w:hAnsiTheme="majorHAnsi"/>
          <w:bCs/>
          <w:iCs/>
        </w:rPr>
        <w:t>nejsou v některých krajích plně funkční</w:t>
      </w:r>
      <w:r>
        <w:rPr>
          <w:rFonts w:asciiTheme="majorHAnsi" w:eastAsia="Geneva" w:hAnsiTheme="majorHAnsi"/>
          <w:bCs/>
          <w:iCs/>
        </w:rPr>
        <w:t xml:space="preserve">. </w:t>
      </w:r>
    </w:p>
    <w:p w14:paraId="56395E90" w14:textId="77777777" w:rsidR="00801932" w:rsidRDefault="00801932" w:rsidP="00801932">
      <w:pPr>
        <w:suppressAutoHyphens/>
        <w:autoSpaceDE w:val="0"/>
        <w:spacing w:after="120"/>
        <w:rPr>
          <w:rFonts w:asciiTheme="majorHAnsi" w:eastAsia="Geneva" w:hAnsiTheme="majorHAnsi"/>
          <w:bCs/>
          <w:iCs/>
        </w:rPr>
      </w:pPr>
      <w:r>
        <w:rPr>
          <w:rFonts w:asciiTheme="majorHAnsi" w:eastAsia="Geneva" w:hAnsiTheme="majorHAnsi"/>
          <w:bCs/>
          <w:iCs/>
        </w:rPr>
        <w:t xml:space="preserve">Regionální EDP proces je ze strany krajských stakeholderů hodnocen pozitivně. Tři čtvrtiny respondentů ho vnímá jako transparentní a téměř 70 % ho považuje za vhodně plánován a rozvíjen. </w:t>
      </w:r>
      <w:r w:rsidR="00B7430A">
        <w:rPr>
          <w:rFonts w:asciiTheme="majorHAnsi" w:eastAsia="Geneva" w:hAnsiTheme="majorHAnsi"/>
          <w:bCs/>
          <w:iCs/>
        </w:rPr>
        <w:t>Více jak polovina r</w:t>
      </w:r>
      <w:r>
        <w:rPr>
          <w:rFonts w:asciiTheme="majorHAnsi" w:eastAsia="Geneva" w:hAnsiTheme="majorHAnsi"/>
          <w:bCs/>
          <w:iCs/>
        </w:rPr>
        <w:t xml:space="preserve">espondenti hodnotí </w:t>
      </w:r>
      <w:r w:rsidRPr="0081603D">
        <w:rPr>
          <w:rFonts w:asciiTheme="majorHAnsi" w:eastAsia="Geneva" w:hAnsiTheme="majorHAnsi"/>
          <w:b/>
          <w:bCs/>
          <w:iCs/>
        </w:rPr>
        <w:t>positivně přenos výsledků procesu EDP na tvůrce politiky a intervencí na krajské úrovni</w:t>
      </w:r>
      <w:r>
        <w:rPr>
          <w:rFonts w:asciiTheme="majorHAnsi" w:eastAsia="Geneva" w:hAnsiTheme="majorHAnsi"/>
          <w:bCs/>
          <w:iCs/>
        </w:rPr>
        <w:t xml:space="preserve"> (52 %). Nicméně relativně velké procento respondentů tento aspekt nedokáže posoudit (téměř 30 %), což může indikovat možné problémy v komunikaci a přenosu informací v rámci kraje. V souladu s očekáváním se pouze třetina respondentů domnívá, že výsledky procesu EDP jsou přenášeny na tvůrce politiky na národní úrovni, 41 % to nedokáže posoudit. </w:t>
      </w:r>
    </w:p>
    <w:p w14:paraId="71EDAD2D" w14:textId="77777777" w:rsidR="00801932" w:rsidRDefault="00801932" w:rsidP="00801932">
      <w:pPr>
        <w:suppressAutoHyphens/>
        <w:autoSpaceDE w:val="0"/>
        <w:spacing w:after="120"/>
        <w:rPr>
          <w:rFonts w:asciiTheme="majorHAnsi" w:eastAsia="Geneva" w:hAnsiTheme="majorHAnsi"/>
          <w:bCs/>
          <w:iCs/>
        </w:rPr>
      </w:pPr>
      <w:r w:rsidRPr="00D834CF">
        <w:rPr>
          <w:rFonts w:asciiTheme="majorHAnsi" w:eastAsia="Geneva" w:hAnsiTheme="majorHAnsi"/>
          <w:bCs/>
          <w:iCs/>
        </w:rPr>
        <w:t xml:space="preserve">Převážná většina respondentů se domnívá, že krajské domény specializace </w:t>
      </w:r>
      <w:r w:rsidR="001D3131">
        <w:rPr>
          <w:rFonts w:asciiTheme="majorHAnsi" w:eastAsia="Geneva" w:hAnsiTheme="majorHAnsi"/>
          <w:bCs/>
          <w:iCs/>
        </w:rPr>
        <w:t xml:space="preserve">(krajská aplikační odvětví) </w:t>
      </w:r>
      <w:r w:rsidRPr="00D834CF">
        <w:rPr>
          <w:rFonts w:asciiTheme="majorHAnsi" w:eastAsia="Geneva" w:hAnsiTheme="majorHAnsi"/>
          <w:bCs/>
          <w:iCs/>
        </w:rPr>
        <w:t>odráží reálný inovační potenciál v kraji a jejich identifikace je dobrým nástrojem pro formulování rozvojových opatření kraje. To podporuje i názor velké části respondentů (57 %), že identifikace krajských domén je objektivní, pouze pětina respondentů se domnívá, že převažuje pohled tvůrčího týmu na úkor objektivnosti. Na druhou stranu téměř 65 % respondentů přiznává, že krajské domény specializace hodně závisí na invenci týmu, který je má identifikovat. Víc jak polovina respondentů je toho názoru, že krajské domény specializace prochází dostatečnou oponenturou, což koresponduje s vyjádřením, že jsou identifikovány objektivně.</w:t>
      </w:r>
      <w:r>
        <w:rPr>
          <w:rFonts w:asciiTheme="majorHAnsi" w:eastAsia="Geneva" w:hAnsiTheme="majorHAnsi"/>
          <w:bCs/>
          <w:iCs/>
        </w:rPr>
        <w:t xml:space="preserve"> </w:t>
      </w:r>
      <w:r w:rsidR="00D834CF">
        <w:rPr>
          <w:rFonts w:asciiTheme="majorHAnsi" w:eastAsia="Geneva" w:hAnsiTheme="majorHAnsi"/>
          <w:bCs/>
          <w:iCs/>
        </w:rPr>
        <w:t>Problémem je však chápání pojmu krajská doména specializace a to napříč všemi regionálními strukturami (blíže viz kap.</w:t>
      </w:r>
      <w:r w:rsidR="002D10A1">
        <w:rPr>
          <w:rFonts w:asciiTheme="majorHAnsi" w:eastAsia="Geneva" w:hAnsiTheme="majorHAnsi"/>
          <w:bCs/>
          <w:iCs/>
        </w:rPr>
        <w:t xml:space="preserve"> 5.2</w:t>
      </w:r>
      <w:r>
        <w:rPr>
          <w:rFonts w:asciiTheme="majorHAnsi" w:eastAsia="Geneva" w:hAnsiTheme="majorHAnsi"/>
          <w:bCs/>
          <w:iCs/>
        </w:rPr>
        <w:t>.</w:t>
      </w:r>
      <w:r w:rsidR="00975B0C">
        <w:rPr>
          <w:rFonts w:asciiTheme="majorHAnsi" w:eastAsia="Geneva" w:hAnsiTheme="majorHAnsi"/>
          <w:bCs/>
          <w:iCs/>
        </w:rPr>
        <w:t>2</w:t>
      </w:r>
      <w:r w:rsidR="00D834CF">
        <w:rPr>
          <w:rFonts w:asciiTheme="majorHAnsi" w:eastAsia="Geneva" w:hAnsiTheme="majorHAnsi"/>
          <w:bCs/>
          <w:iCs/>
        </w:rPr>
        <w:t>)</w:t>
      </w:r>
    </w:p>
    <w:p w14:paraId="461982A5" w14:textId="77777777" w:rsidR="00801932" w:rsidRDefault="00801932" w:rsidP="00801932">
      <w:pPr>
        <w:suppressAutoHyphens/>
        <w:autoSpaceDE w:val="0"/>
        <w:spacing w:before="120" w:after="120"/>
        <w:rPr>
          <w:rFonts w:asciiTheme="majorHAnsi" w:eastAsia="Geneva" w:hAnsiTheme="majorHAnsi"/>
          <w:bCs/>
          <w:iCs/>
        </w:rPr>
      </w:pPr>
      <w:r>
        <w:rPr>
          <w:rFonts w:asciiTheme="majorHAnsi" w:eastAsia="Geneva" w:hAnsiTheme="majorHAnsi"/>
          <w:bCs/>
          <w:iCs/>
        </w:rPr>
        <w:t xml:space="preserve">Krajští stakeholdeři zapojení do terénního šetření poskytli „krajský pohled“ na implementaci </w:t>
      </w:r>
      <w:r w:rsidR="00B7430A">
        <w:rPr>
          <w:rFonts w:asciiTheme="majorHAnsi" w:eastAsia="Geneva" w:hAnsiTheme="majorHAnsi"/>
          <w:bCs/>
          <w:iCs/>
        </w:rPr>
        <w:t xml:space="preserve">celkového konceptu </w:t>
      </w:r>
      <w:r>
        <w:rPr>
          <w:rFonts w:asciiTheme="majorHAnsi" w:eastAsia="Geneva" w:hAnsiTheme="majorHAnsi"/>
          <w:bCs/>
          <w:iCs/>
        </w:rPr>
        <w:t xml:space="preserve">RIS3 strategie a identifikovali </w:t>
      </w:r>
      <w:r w:rsidRPr="00AE0D12">
        <w:rPr>
          <w:rFonts w:asciiTheme="majorHAnsi" w:eastAsia="Geneva" w:hAnsiTheme="majorHAnsi"/>
          <w:bCs/>
          <w:iCs/>
        </w:rPr>
        <w:t xml:space="preserve">slabé stránky procesu EDP na </w:t>
      </w:r>
      <w:r>
        <w:rPr>
          <w:rFonts w:asciiTheme="majorHAnsi" w:eastAsia="Geneva" w:hAnsiTheme="majorHAnsi"/>
          <w:bCs/>
          <w:iCs/>
        </w:rPr>
        <w:t>krajské</w:t>
      </w:r>
      <w:r w:rsidRPr="00AE0D12">
        <w:rPr>
          <w:rFonts w:asciiTheme="majorHAnsi" w:eastAsia="Geneva" w:hAnsiTheme="majorHAnsi"/>
          <w:bCs/>
          <w:iCs/>
        </w:rPr>
        <w:t xml:space="preserve"> úrovni</w:t>
      </w:r>
      <w:r w:rsidRPr="008E5F41">
        <w:rPr>
          <w:rFonts w:asciiTheme="majorHAnsi" w:eastAsia="Geneva" w:hAnsiTheme="majorHAnsi"/>
          <w:bCs/>
          <w:iCs/>
        </w:rPr>
        <w:t xml:space="preserve">. </w:t>
      </w:r>
      <w:r>
        <w:rPr>
          <w:rFonts w:asciiTheme="majorHAnsi" w:eastAsia="Geneva" w:hAnsiTheme="majorHAnsi"/>
          <w:bCs/>
          <w:iCs/>
        </w:rPr>
        <w:t>Ty lze zařadit do tří základních skupin</w:t>
      </w:r>
      <w:r>
        <w:rPr>
          <w:rStyle w:val="Znakapoznpodarou"/>
          <w:rFonts w:asciiTheme="majorHAnsi" w:eastAsia="Geneva" w:hAnsiTheme="majorHAnsi"/>
          <w:bCs/>
          <w:iCs/>
        </w:rPr>
        <w:footnoteReference w:id="50"/>
      </w:r>
      <w:r>
        <w:rPr>
          <w:rFonts w:asciiTheme="majorHAnsi" w:eastAsia="Geneva" w:hAnsiTheme="majorHAnsi"/>
          <w:bCs/>
          <w:iCs/>
        </w:rPr>
        <w:t>, které se však prolínají a jednotlivé slabé stránky se mnohdy vzájemně podmiňují:</w:t>
      </w:r>
    </w:p>
    <w:p w14:paraId="5BB5D1FA" w14:textId="77777777" w:rsidR="00801932" w:rsidRPr="004B0D83" w:rsidRDefault="00801932" w:rsidP="00801932">
      <w:pPr>
        <w:suppressAutoHyphens/>
        <w:autoSpaceDE w:val="0"/>
        <w:spacing w:before="120" w:after="120"/>
        <w:rPr>
          <w:rFonts w:asciiTheme="majorHAnsi" w:eastAsia="Geneva" w:hAnsiTheme="majorHAnsi"/>
          <w:bCs/>
          <w:iCs/>
          <w:u w:val="single"/>
        </w:rPr>
      </w:pPr>
      <w:r w:rsidRPr="004B0D83">
        <w:rPr>
          <w:rFonts w:asciiTheme="majorHAnsi" w:eastAsia="Geneva" w:hAnsiTheme="majorHAnsi"/>
          <w:bCs/>
          <w:iCs/>
          <w:u w:val="single"/>
        </w:rPr>
        <w:t>1) nezájem potenciálních stakeholderů o zapojení se do EDP</w:t>
      </w:r>
    </w:p>
    <w:p w14:paraId="69453C15" w14:textId="77777777" w:rsidR="00801932" w:rsidRDefault="00801932" w:rsidP="00801932">
      <w:pPr>
        <w:suppressAutoHyphens/>
        <w:autoSpaceDE w:val="0"/>
        <w:spacing w:before="120" w:after="120"/>
        <w:rPr>
          <w:rFonts w:asciiTheme="majorHAnsi" w:eastAsia="Geneva" w:hAnsiTheme="majorHAnsi"/>
          <w:bCs/>
          <w:iCs/>
        </w:rPr>
      </w:pPr>
      <w:r w:rsidRPr="00380B54">
        <w:rPr>
          <w:rFonts w:asciiTheme="majorHAnsi" w:eastAsia="Geneva" w:hAnsiTheme="majorHAnsi"/>
          <w:bCs/>
          <w:iCs/>
        </w:rPr>
        <w:t xml:space="preserve">Krajští stakeholdeři poukazovali na </w:t>
      </w:r>
      <w:r w:rsidRPr="00380B54">
        <w:rPr>
          <w:rFonts w:asciiTheme="majorHAnsi" w:eastAsia="Geneva" w:hAnsiTheme="majorHAnsi"/>
          <w:b/>
          <w:bCs/>
          <w:iCs/>
        </w:rPr>
        <w:t>nízkou ochotu</w:t>
      </w:r>
      <w:r w:rsidRPr="001E7ED8">
        <w:rPr>
          <w:rFonts w:asciiTheme="majorHAnsi" w:eastAsia="Geneva" w:hAnsiTheme="majorHAnsi"/>
          <w:bCs/>
          <w:iCs/>
        </w:rPr>
        <w:t xml:space="preserve"> podnikatelských subjektů zapojit se do procesu implementace RIS3 strategie, ale také na </w:t>
      </w:r>
      <w:r w:rsidRPr="00170EBC">
        <w:rPr>
          <w:rFonts w:asciiTheme="majorHAnsi" w:eastAsia="Geneva" w:hAnsiTheme="majorHAnsi"/>
          <w:b/>
          <w:bCs/>
          <w:iCs/>
        </w:rPr>
        <w:t>nízkou aktivitu</w:t>
      </w:r>
      <w:r w:rsidRPr="00170EBC">
        <w:rPr>
          <w:rFonts w:asciiTheme="majorHAnsi" w:eastAsia="Geneva" w:hAnsiTheme="majorHAnsi"/>
          <w:bCs/>
          <w:iCs/>
        </w:rPr>
        <w:t xml:space="preserve"> již zapojených členů platforem. To souvisí na jedné straně s přirozenou tendencí podnikatelů řešit spíše bezprostřední problémy, ale také s aspekty mající </w:t>
      </w:r>
      <w:r w:rsidRPr="00170EBC">
        <w:rPr>
          <w:rFonts w:asciiTheme="majorHAnsi" w:eastAsia="Geneva" w:hAnsiTheme="majorHAnsi"/>
          <w:b/>
          <w:bCs/>
          <w:iCs/>
        </w:rPr>
        <w:t>systémový charakter</w:t>
      </w:r>
      <w:r w:rsidRPr="00170EBC">
        <w:rPr>
          <w:rFonts w:asciiTheme="majorHAnsi" w:eastAsia="Geneva" w:hAnsiTheme="majorHAnsi"/>
          <w:bCs/>
          <w:iCs/>
        </w:rPr>
        <w:t>.</w:t>
      </w:r>
      <w:r>
        <w:rPr>
          <w:rFonts w:asciiTheme="majorHAnsi" w:eastAsia="Geneva" w:hAnsiTheme="majorHAnsi"/>
          <w:bCs/>
          <w:iCs/>
        </w:rPr>
        <w:t xml:space="preserve"> Jedná se zejména o </w:t>
      </w:r>
      <w:r w:rsidRPr="004B0D83">
        <w:rPr>
          <w:rFonts w:asciiTheme="majorHAnsi" w:eastAsia="Geneva" w:hAnsiTheme="majorHAnsi"/>
          <w:b/>
          <w:bCs/>
          <w:iCs/>
        </w:rPr>
        <w:t>nedostatečnou politickou podporu</w:t>
      </w:r>
      <w:r>
        <w:rPr>
          <w:rFonts w:asciiTheme="majorHAnsi" w:eastAsia="Geneva" w:hAnsiTheme="majorHAnsi"/>
          <w:bCs/>
          <w:iCs/>
        </w:rPr>
        <w:t xml:space="preserve">, </w:t>
      </w:r>
      <w:r w:rsidRPr="004B0D83">
        <w:rPr>
          <w:rFonts w:asciiTheme="majorHAnsi" w:eastAsia="Geneva" w:hAnsiTheme="majorHAnsi"/>
          <w:b/>
          <w:bCs/>
          <w:iCs/>
        </w:rPr>
        <w:t>nedostatečnou osvětu a informovanost</w:t>
      </w:r>
      <w:r>
        <w:rPr>
          <w:rFonts w:asciiTheme="majorHAnsi" w:eastAsia="Geneva" w:hAnsiTheme="majorHAnsi"/>
          <w:bCs/>
          <w:iCs/>
        </w:rPr>
        <w:t xml:space="preserve"> podnikatelské veřejnosti o RIS3 strategii (krajské i národní) a </w:t>
      </w:r>
      <w:r w:rsidRPr="004B0D83">
        <w:rPr>
          <w:rFonts w:asciiTheme="majorHAnsi" w:eastAsia="Geneva" w:hAnsiTheme="majorHAnsi"/>
          <w:b/>
          <w:bCs/>
          <w:iCs/>
        </w:rPr>
        <w:t>nízk</w:t>
      </w:r>
      <w:r w:rsidR="0081603D">
        <w:rPr>
          <w:rFonts w:asciiTheme="majorHAnsi" w:eastAsia="Geneva" w:hAnsiTheme="majorHAnsi"/>
          <w:b/>
          <w:bCs/>
          <w:iCs/>
        </w:rPr>
        <w:t>ou</w:t>
      </w:r>
      <w:r w:rsidRPr="004B0D83">
        <w:rPr>
          <w:rFonts w:asciiTheme="majorHAnsi" w:eastAsia="Geneva" w:hAnsiTheme="majorHAnsi"/>
          <w:b/>
          <w:bCs/>
          <w:iCs/>
        </w:rPr>
        <w:t xml:space="preserve"> mí</w:t>
      </w:r>
      <w:r w:rsidR="0081603D">
        <w:rPr>
          <w:rFonts w:asciiTheme="majorHAnsi" w:eastAsia="Geneva" w:hAnsiTheme="majorHAnsi"/>
          <w:b/>
          <w:bCs/>
          <w:iCs/>
        </w:rPr>
        <w:t>ru</w:t>
      </w:r>
      <w:r>
        <w:rPr>
          <w:rFonts w:asciiTheme="majorHAnsi" w:eastAsia="Geneva" w:hAnsiTheme="majorHAnsi"/>
          <w:bCs/>
          <w:iCs/>
        </w:rPr>
        <w:t xml:space="preserve"> </w:t>
      </w:r>
      <w:r w:rsidRPr="004B0D83">
        <w:rPr>
          <w:rFonts w:asciiTheme="majorHAnsi" w:eastAsia="Geneva" w:hAnsiTheme="majorHAnsi"/>
          <w:b/>
          <w:bCs/>
          <w:iCs/>
        </w:rPr>
        <w:t>komunikace a koordinace</w:t>
      </w:r>
      <w:r>
        <w:rPr>
          <w:rFonts w:asciiTheme="majorHAnsi" w:eastAsia="Geneva" w:hAnsiTheme="majorHAnsi"/>
          <w:bCs/>
          <w:iCs/>
        </w:rPr>
        <w:t xml:space="preserve"> jak na národní tak regionální úrovni. Obtížný je taktéž přenos navržených opatření do reálného života, což souvisí </w:t>
      </w:r>
      <w:r w:rsidRPr="004B0D83">
        <w:rPr>
          <w:rFonts w:asciiTheme="majorHAnsi" w:eastAsia="Geneva" w:hAnsiTheme="majorHAnsi"/>
          <w:b/>
          <w:bCs/>
          <w:iCs/>
        </w:rPr>
        <w:t>s nízkou mírou disponibilních finančních prostředků</w:t>
      </w:r>
      <w:r>
        <w:rPr>
          <w:rFonts w:asciiTheme="majorHAnsi" w:eastAsia="Geneva" w:hAnsiTheme="majorHAnsi"/>
          <w:bCs/>
          <w:iCs/>
        </w:rPr>
        <w:t xml:space="preserve"> na realizaci RIS3 strategie, zejména na krajské úrovni. </w:t>
      </w:r>
    </w:p>
    <w:p w14:paraId="201EF0C9" w14:textId="77777777" w:rsidR="00801932" w:rsidRPr="004B0D83" w:rsidRDefault="00801932" w:rsidP="00801932">
      <w:pPr>
        <w:suppressAutoHyphens/>
        <w:autoSpaceDE w:val="0"/>
        <w:spacing w:before="120" w:after="120"/>
        <w:rPr>
          <w:rFonts w:asciiTheme="majorHAnsi" w:eastAsia="Geneva" w:hAnsiTheme="majorHAnsi"/>
          <w:bCs/>
          <w:iCs/>
          <w:u w:val="single"/>
        </w:rPr>
      </w:pPr>
      <w:r w:rsidRPr="004B0D83">
        <w:rPr>
          <w:rFonts w:asciiTheme="majorHAnsi" w:eastAsia="Geneva" w:hAnsiTheme="majorHAnsi"/>
          <w:bCs/>
          <w:iCs/>
          <w:u w:val="single"/>
        </w:rPr>
        <w:t>2) Nedostatečná propagace RIS3 strategie a komunikace mezi stakeholdery</w:t>
      </w:r>
    </w:p>
    <w:p w14:paraId="5E080BDC" w14:textId="77777777" w:rsidR="00801932" w:rsidRDefault="00801932" w:rsidP="00801932">
      <w:pPr>
        <w:suppressAutoHyphens/>
        <w:autoSpaceDE w:val="0"/>
        <w:spacing w:before="120" w:after="120"/>
        <w:rPr>
          <w:rFonts w:asciiTheme="majorHAnsi" w:eastAsia="Geneva" w:hAnsiTheme="majorHAnsi"/>
          <w:bCs/>
          <w:iCs/>
        </w:rPr>
      </w:pPr>
      <w:r>
        <w:rPr>
          <w:rFonts w:asciiTheme="majorHAnsi" w:eastAsia="Geneva" w:hAnsiTheme="majorHAnsi"/>
          <w:bCs/>
          <w:iCs/>
        </w:rPr>
        <w:t>Nízká míra propagace Národní i krajských RIS3 strategií a osvěta o jejím významu se negativně projevuje v </w:t>
      </w:r>
      <w:r w:rsidRPr="004B0D83">
        <w:rPr>
          <w:rFonts w:asciiTheme="majorHAnsi" w:eastAsia="Geneva" w:hAnsiTheme="majorHAnsi"/>
          <w:b/>
          <w:bCs/>
          <w:iCs/>
        </w:rPr>
        <w:t>problematické aktivizaci stakeholderů</w:t>
      </w:r>
      <w:r>
        <w:rPr>
          <w:rFonts w:asciiTheme="majorHAnsi" w:eastAsia="Geneva" w:hAnsiTheme="majorHAnsi"/>
          <w:bCs/>
          <w:iCs/>
        </w:rPr>
        <w:t xml:space="preserve">, kteří jsou nezbytní pro efektivní fungování </w:t>
      </w:r>
      <w:r>
        <w:rPr>
          <w:rFonts w:asciiTheme="majorHAnsi" w:eastAsia="Geneva" w:hAnsiTheme="majorHAnsi"/>
          <w:bCs/>
          <w:iCs/>
        </w:rPr>
        <w:lastRenderedPageBreak/>
        <w:t xml:space="preserve">EDP. Respondenti poukazují na </w:t>
      </w:r>
      <w:r w:rsidRPr="000E58B7">
        <w:rPr>
          <w:rFonts w:asciiTheme="majorHAnsi" w:eastAsia="Geneva" w:hAnsiTheme="majorHAnsi"/>
          <w:b/>
          <w:bCs/>
          <w:iCs/>
        </w:rPr>
        <w:t>nízkou politickou podporu</w:t>
      </w:r>
      <w:r>
        <w:rPr>
          <w:rFonts w:asciiTheme="majorHAnsi" w:eastAsia="Geneva" w:hAnsiTheme="majorHAnsi"/>
          <w:bCs/>
          <w:iCs/>
        </w:rPr>
        <w:t xml:space="preserve"> problematiky RIS3 strategie, a to jak na národní úrovni, tak na úrovni krajské. Krajská politická reprezentace, pokud nemá jasné a důrazné signály prioritního zaměření na inovační potenciál z národní úrovně, velmi obtížně prosazuje realizaci krajských opatření RIS3 strategie do svého rozpočtu.  </w:t>
      </w:r>
    </w:p>
    <w:p w14:paraId="75BBE3A4" w14:textId="77777777" w:rsidR="00801932" w:rsidRDefault="00801932" w:rsidP="00801932">
      <w:pPr>
        <w:suppressAutoHyphens/>
        <w:autoSpaceDE w:val="0"/>
        <w:spacing w:before="120" w:after="120"/>
        <w:rPr>
          <w:rFonts w:asciiTheme="majorHAnsi" w:eastAsia="Geneva" w:hAnsiTheme="majorHAnsi"/>
          <w:bCs/>
          <w:iCs/>
        </w:rPr>
      </w:pPr>
      <w:r>
        <w:rPr>
          <w:rFonts w:asciiTheme="majorHAnsi" w:eastAsia="Geneva" w:hAnsiTheme="majorHAnsi"/>
          <w:bCs/>
          <w:iCs/>
        </w:rPr>
        <w:t>Nedostatečná komunikace a koordinace byla respondenty zmiňována velmi často, a to jak na úrovní kraje (nedostatečná komunikace v rámci kraje, zejména ve vztahu k podnikatelské veřejnosti), tak na úrovni kraj – stát. Slabou stránkou je také nízká komunikace a koordinace mezi kraji navzájem, což z hlediska regionálního rozložení (14 krajských RIS3 strategií) dále prohlubuje roztříštěnost celého systému.</w:t>
      </w:r>
    </w:p>
    <w:p w14:paraId="4418F9EC" w14:textId="77777777" w:rsidR="00801932" w:rsidRPr="000E58B7" w:rsidRDefault="00801932" w:rsidP="00801932">
      <w:pPr>
        <w:suppressAutoHyphens/>
        <w:autoSpaceDE w:val="0"/>
        <w:spacing w:before="120" w:after="120"/>
        <w:rPr>
          <w:rFonts w:asciiTheme="majorHAnsi" w:eastAsia="Geneva" w:hAnsiTheme="majorHAnsi"/>
          <w:bCs/>
          <w:iCs/>
          <w:u w:val="single"/>
        </w:rPr>
      </w:pPr>
      <w:r w:rsidRPr="000E58B7">
        <w:rPr>
          <w:rFonts w:asciiTheme="majorHAnsi" w:eastAsia="Geneva" w:hAnsiTheme="majorHAnsi"/>
          <w:bCs/>
          <w:iCs/>
          <w:u w:val="single"/>
        </w:rPr>
        <w:t>3) Finanční aspekty</w:t>
      </w:r>
    </w:p>
    <w:p w14:paraId="0D38A994" w14:textId="77777777" w:rsidR="00801932" w:rsidRDefault="00801932" w:rsidP="00801932">
      <w:pPr>
        <w:suppressAutoHyphens/>
        <w:autoSpaceDE w:val="0"/>
        <w:spacing w:before="120" w:after="120"/>
        <w:rPr>
          <w:rFonts w:asciiTheme="majorHAnsi" w:eastAsia="Geneva" w:hAnsiTheme="majorHAnsi"/>
          <w:bCs/>
          <w:iCs/>
        </w:rPr>
      </w:pPr>
      <w:r>
        <w:rPr>
          <w:rFonts w:asciiTheme="majorHAnsi" w:eastAsia="Geneva" w:hAnsiTheme="majorHAnsi"/>
          <w:bCs/>
          <w:iCs/>
        </w:rPr>
        <w:t xml:space="preserve">Respondenti zmiňovali nedostatečné finanční zdroje na realizaci krajských opatření, resp. omezené propojení výsledků EDP na finanční zdroje, což do značné míry souvisí s již zmiňovanou slabou politickou podporou. </w:t>
      </w:r>
    </w:p>
    <w:p w14:paraId="51CE5A3F" w14:textId="77777777" w:rsidR="00801932" w:rsidRDefault="00801932" w:rsidP="00801932">
      <w:pPr>
        <w:suppressAutoHyphens/>
        <w:autoSpaceDE w:val="0"/>
        <w:spacing w:before="240" w:after="120"/>
        <w:rPr>
          <w:rFonts w:asciiTheme="majorHAnsi" w:eastAsia="Geneva" w:hAnsiTheme="majorHAnsi"/>
          <w:bCs/>
          <w:iCs/>
        </w:rPr>
      </w:pPr>
      <w:r>
        <w:rPr>
          <w:rFonts w:asciiTheme="majorHAnsi" w:eastAsia="Geneva" w:hAnsiTheme="majorHAnsi"/>
          <w:bCs/>
          <w:iCs/>
        </w:rPr>
        <w:t xml:space="preserve">Kromě výše uvedených slabých stránek respondenti zmiňovali také formálnost procesu implementace RIS3 strategie, malé propojení s praxí, v některých případech prosazování vlastních zájmů, administrativní náročnost procesů apod.  </w:t>
      </w:r>
    </w:p>
    <w:p w14:paraId="746907AA" w14:textId="77777777" w:rsidR="002D10A1" w:rsidRDefault="002D10A1" w:rsidP="002D10A1">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p>
    <w:p w14:paraId="7C57EA5B" w14:textId="77777777" w:rsidR="002D10A1" w:rsidRPr="00801932" w:rsidRDefault="002D10A1" w:rsidP="002D10A1">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bookmarkStart w:id="88" w:name="_Toc5626469"/>
      <w:r>
        <w:rPr>
          <w:rFonts w:asciiTheme="majorHAnsi" w:eastAsiaTheme="majorEastAsia" w:hAnsiTheme="majorHAnsi" w:cstheme="majorHAnsi"/>
          <w:i/>
          <w:caps/>
          <w:color w:val="004B8D"/>
          <w:spacing w:val="0"/>
          <w:sz w:val="22"/>
          <w:lang w:bidi="ar-SA"/>
        </w:rPr>
        <w:t xml:space="preserve">5.1.2 Krajští RIS3 </w:t>
      </w:r>
      <w:r w:rsidR="009B06B5">
        <w:rPr>
          <w:rFonts w:asciiTheme="majorHAnsi" w:eastAsiaTheme="majorEastAsia" w:hAnsiTheme="majorHAnsi" w:cstheme="majorHAnsi"/>
          <w:i/>
          <w:caps/>
          <w:color w:val="004B8D"/>
          <w:spacing w:val="0"/>
          <w:sz w:val="22"/>
          <w:lang w:bidi="ar-SA"/>
        </w:rPr>
        <w:t xml:space="preserve">manažeři a </w:t>
      </w:r>
      <w:r>
        <w:rPr>
          <w:rFonts w:asciiTheme="majorHAnsi" w:eastAsiaTheme="majorEastAsia" w:hAnsiTheme="majorHAnsi" w:cstheme="majorHAnsi"/>
          <w:i/>
          <w:caps/>
          <w:color w:val="004B8D"/>
          <w:spacing w:val="0"/>
          <w:sz w:val="22"/>
          <w:lang w:bidi="ar-SA"/>
        </w:rPr>
        <w:t>koordinátoři</w:t>
      </w:r>
      <w:bookmarkEnd w:id="88"/>
      <w:r>
        <w:rPr>
          <w:rFonts w:asciiTheme="majorHAnsi" w:eastAsiaTheme="majorEastAsia" w:hAnsiTheme="majorHAnsi" w:cstheme="majorHAnsi"/>
          <w:i/>
          <w:caps/>
          <w:color w:val="004B8D"/>
          <w:spacing w:val="0"/>
          <w:sz w:val="22"/>
          <w:lang w:bidi="ar-SA"/>
        </w:rPr>
        <w:t xml:space="preserve">  </w:t>
      </w:r>
    </w:p>
    <w:p w14:paraId="53C6B0F3" w14:textId="77777777" w:rsidR="006C47AC" w:rsidRDefault="009B06B5" w:rsidP="009B06B5">
      <w:pPr>
        <w:rPr>
          <w:lang w:bidi="ar-SA"/>
        </w:rPr>
      </w:pPr>
      <w:r w:rsidRPr="009B06B5">
        <w:rPr>
          <w:lang w:bidi="ar-SA"/>
        </w:rPr>
        <w:t xml:space="preserve">Role </w:t>
      </w:r>
      <w:r>
        <w:rPr>
          <w:lang w:bidi="ar-SA"/>
        </w:rPr>
        <w:t xml:space="preserve">krajského RIS3 manažera a krajského RIS3 koordinátora představuje základní spojnici mezi národní a regionální úrovní. Tyto pozice existují ve všech krajích, avšak faktická role se může v jednotlivých krajích lišit. </w:t>
      </w:r>
    </w:p>
    <w:p w14:paraId="087F38EA" w14:textId="77777777" w:rsidR="00AB6DE9" w:rsidRDefault="00AB6DE9" w:rsidP="009B06B5">
      <w:pPr>
        <w:rPr>
          <w:lang w:bidi="ar-SA"/>
        </w:rPr>
      </w:pPr>
      <w:r>
        <w:rPr>
          <w:lang w:bidi="ar-SA"/>
        </w:rPr>
        <w:t xml:space="preserve">Pozice krajského RIS3 manažera má převážně výkonný charakter. Jeho hlavním úkolem je koordinace příprav krajské přílohy RIS3 strategie a její implementace. Tato pozice je ve většině případů začleněna do struktury specializované organizace (rozvojové agentury, inovačního centra atp.), která je faktickým realizátorem konkrétních intervencí strategie. </w:t>
      </w:r>
    </w:p>
    <w:p w14:paraId="13B72C4C" w14:textId="77777777" w:rsidR="00AB6DE9" w:rsidRDefault="00AB6DE9" w:rsidP="009B06B5">
      <w:pPr>
        <w:rPr>
          <w:lang w:bidi="ar-SA"/>
        </w:rPr>
      </w:pPr>
      <w:r>
        <w:rPr>
          <w:lang w:bidi="ar-SA"/>
        </w:rPr>
        <w:t xml:space="preserve">Pozice krajského RIS3 koordinátora je začleněna do struktury Krajského úřadu (většinou odboru regionálního rozvoje). Úkolem koordinátora je především komunikace s národní úrovní (zejména s Národním RIS3 manažerem), ale také koordinace </w:t>
      </w:r>
      <w:r w:rsidR="00DD3585">
        <w:rPr>
          <w:lang w:bidi="ar-SA"/>
        </w:rPr>
        <w:t xml:space="preserve">krajské RSI3 strategie s dalšími krajskými politikami a strategiemi. </w:t>
      </w:r>
      <w:r w:rsidR="00C969C8">
        <w:rPr>
          <w:lang w:bidi="ar-SA"/>
        </w:rPr>
        <w:t xml:space="preserve">Ve většině krajů, které jsou zapojeny do projektu Smart Accelerator, vykonává koordinátor aktivity spojené s administrací tohoto projektu. </w:t>
      </w:r>
      <w:r>
        <w:rPr>
          <w:lang w:bidi="ar-SA"/>
        </w:rPr>
        <w:t xml:space="preserve"> </w:t>
      </w:r>
    </w:p>
    <w:p w14:paraId="752B176E" w14:textId="77777777" w:rsidR="0052485C" w:rsidRDefault="0052485C" w:rsidP="006B702B">
      <w:pPr>
        <w:rPr>
          <w:lang w:bidi="ar-SA"/>
        </w:rPr>
      </w:pPr>
      <w:r>
        <w:rPr>
          <w:lang w:bidi="ar-SA"/>
        </w:rPr>
        <w:t xml:space="preserve">Vzhledem k tomu, že krajští RIS3 manažeři a koordinátoři představují ve struktuře organizačního zajištění implementace národní i krajských RIS3 strategií významný článek, byli zahrnuti do terénního šetření, spolu se zástupci Mezirezortní analytické </w:t>
      </w:r>
      <w:r w:rsidR="0081603D">
        <w:rPr>
          <w:lang w:bidi="ar-SA"/>
        </w:rPr>
        <w:t xml:space="preserve">pracovní </w:t>
      </w:r>
      <w:r>
        <w:rPr>
          <w:lang w:bidi="ar-SA"/>
        </w:rPr>
        <w:t xml:space="preserve">skupiny. </w:t>
      </w:r>
      <w:r w:rsidR="009B14E5">
        <w:rPr>
          <w:lang w:bidi="ar-SA"/>
        </w:rPr>
        <w:t xml:space="preserve">Jimi zdůrazněné slabé stránky </w:t>
      </w:r>
      <w:r>
        <w:rPr>
          <w:lang w:bidi="ar-SA"/>
        </w:rPr>
        <w:t xml:space="preserve">procesu implementace RIS3 </w:t>
      </w:r>
      <w:r w:rsidR="006B702B">
        <w:rPr>
          <w:lang w:bidi="ar-SA"/>
        </w:rPr>
        <w:t xml:space="preserve">strategie </w:t>
      </w:r>
      <w:r w:rsidR="009B14E5">
        <w:rPr>
          <w:lang w:bidi="ar-SA"/>
        </w:rPr>
        <w:t xml:space="preserve">potvrzují zjištění identifikovaná i v šetření s ostatními stakeholdery. Z slabé stránky </w:t>
      </w:r>
      <w:r w:rsidR="006B702B">
        <w:rPr>
          <w:lang w:bidi="ar-SA"/>
        </w:rPr>
        <w:t xml:space="preserve">považují zejména: </w:t>
      </w:r>
    </w:p>
    <w:p w14:paraId="491BC4CE" w14:textId="1B462FE3" w:rsidR="006B702B" w:rsidRPr="006B702B" w:rsidRDefault="006B702B" w:rsidP="00140906">
      <w:pPr>
        <w:pStyle w:val="Odstavecseseznamem"/>
        <w:numPr>
          <w:ilvl w:val="1"/>
          <w:numId w:val="31"/>
        </w:numPr>
        <w:suppressAutoHyphens/>
        <w:autoSpaceDE w:val="0"/>
        <w:spacing w:after="120"/>
        <w:ind w:left="426" w:hanging="426"/>
        <w:rPr>
          <w:rFonts w:asciiTheme="majorHAnsi" w:eastAsia="Geneva" w:hAnsiTheme="majorHAnsi"/>
          <w:bCs/>
          <w:iCs/>
        </w:rPr>
      </w:pPr>
      <w:r w:rsidRPr="006B702B">
        <w:rPr>
          <w:rFonts w:asciiTheme="majorHAnsi" w:eastAsia="Geneva" w:hAnsiTheme="majorHAnsi"/>
          <w:b/>
          <w:bCs/>
          <w:iCs/>
        </w:rPr>
        <w:t>nejasné postavení a vymezení</w:t>
      </w:r>
      <w:r w:rsidRPr="006B702B">
        <w:rPr>
          <w:rFonts w:asciiTheme="majorHAnsi" w:eastAsia="Geneva" w:hAnsiTheme="majorHAnsi"/>
          <w:bCs/>
          <w:iCs/>
        </w:rPr>
        <w:t xml:space="preserve"> Národní RIS3 strategie vůči ostatním strategiím a politikám; ne</w:t>
      </w:r>
      <w:r w:rsidR="0086283B">
        <w:rPr>
          <w:rFonts w:asciiTheme="majorHAnsi" w:eastAsia="Geneva" w:hAnsiTheme="majorHAnsi"/>
          <w:bCs/>
          <w:iCs/>
        </w:rPr>
        <w:t xml:space="preserve"> zcela </w:t>
      </w:r>
      <w:r w:rsidRPr="006B702B">
        <w:rPr>
          <w:rFonts w:asciiTheme="majorHAnsi" w:eastAsia="Geneva" w:hAnsiTheme="majorHAnsi"/>
          <w:bCs/>
          <w:iCs/>
        </w:rPr>
        <w:t>vyjasněný vztah mezi Národní a krajskými RIS3 strategiemi,</w:t>
      </w:r>
    </w:p>
    <w:p w14:paraId="4959F6CA" w14:textId="77777777" w:rsidR="006B702B" w:rsidRPr="006B702B" w:rsidRDefault="006B702B" w:rsidP="00140906">
      <w:pPr>
        <w:pStyle w:val="Odstavecseseznamem"/>
        <w:numPr>
          <w:ilvl w:val="1"/>
          <w:numId w:val="31"/>
        </w:numPr>
        <w:suppressAutoHyphens/>
        <w:autoSpaceDE w:val="0"/>
        <w:spacing w:after="120"/>
        <w:ind w:left="426" w:hanging="426"/>
        <w:rPr>
          <w:rFonts w:asciiTheme="majorHAnsi" w:eastAsia="Geneva" w:hAnsiTheme="majorHAnsi"/>
          <w:bCs/>
          <w:iCs/>
        </w:rPr>
      </w:pPr>
      <w:r w:rsidRPr="006B702B">
        <w:rPr>
          <w:rFonts w:asciiTheme="majorHAnsi" w:eastAsia="Geneva" w:hAnsiTheme="majorHAnsi"/>
          <w:bCs/>
          <w:iCs/>
        </w:rPr>
        <w:lastRenderedPageBreak/>
        <w:t xml:space="preserve">nejasný </w:t>
      </w:r>
      <w:r w:rsidRPr="006B702B">
        <w:rPr>
          <w:rFonts w:asciiTheme="majorHAnsi" w:eastAsia="Geneva" w:hAnsiTheme="majorHAnsi"/>
          <w:b/>
          <w:bCs/>
          <w:iCs/>
        </w:rPr>
        <w:t>mechanizmus přenosu a promítnutí výsledků EDP</w:t>
      </w:r>
      <w:r w:rsidRPr="006B702B">
        <w:rPr>
          <w:rFonts w:asciiTheme="majorHAnsi" w:eastAsia="Geneva" w:hAnsiTheme="majorHAnsi"/>
          <w:bCs/>
          <w:iCs/>
        </w:rPr>
        <w:t xml:space="preserve"> do politik a jejich nástrojů (dotační programy, intervence apod.),</w:t>
      </w:r>
    </w:p>
    <w:p w14:paraId="1B5D8910" w14:textId="77777777" w:rsidR="006B702B" w:rsidRPr="006B702B" w:rsidRDefault="006B702B" w:rsidP="00140906">
      <w:pPr>
        <w:pStyle w:val="Odstavecseseznamem"/>
        <w:numPr>
          <w:ilvl w:val="1"/>
          <w:numId w:val="31"/>
        </w:numPr>
        <w:suppressAutoHyphens/>
        <w:autoSpaceDE w:val="0"/>
        <w:spacing w:after="120"/>
        <w:ind w:left="426" w:hanging="426"/>
        <w:rPr>
          <w:rFonts w:asciiTheme="majorHAnsi" w:eastAsia="Geneva" w:hAnsiTheme="majorHAnsi"/>
          <w:bCs/>
          <w:iCs/>
        </w:rPr>
      </w:pPr>
      <w:r w:rsidRPr="006B702B">
        <w:rPr>
          <w:rFonts w:asciiTheme="majorHAnsi" w:eastAsia="Geneva" w:hAnsiTheme="majorHAnsi"/>
          <w:b/>
          <w:bCs/>
          <w:iCs/>
        </w:rPr>
        <w:t>nedostatečná politická podpora</w:t>
      </w:r>
      <w:r w:rsidRPr="006B702B">
        <w:rPr>
          <w:rFonts w:asciiTheme="majorHAnsi" w:eastAsia="Geneva" w:hAnsiTheme="majorHAnsi"/>
          <w:bCs/>
          <w:iCs/>
        </w:rPr>
        <w:t xml:space="preserve"> a vysoká míra personální i institucionální </w:t>
      </w:r>
      <w:r w:rsidRPr="006B702B">
        <w:rPr>
          <w:rFonts w:asciiTheme="majorHAnsi" w:eastAsia="Geneva" w:hAnsiTheme="majorHAnsi"/>
          <w:b/>
          <w:bCs/>
          <w:iCs/>
        </w:rPr>
        <w:t>fluktuace</w:t>
      </w:r>
      <w:r w:rsidRPr="006B702B">
        <w:rPr>
          <w:rFonts w:asciiTheme="majorHAnsi" w:eastAsia="Geneva" w:hAnsiTheme="majorHAnsi"/>
          <w:bCs/>
          <w:iCs/>
        </w:rPr>
        <w:t>, rezortismus, klientelismus, boj o finanční zdroje,</w:t>
      </w:r>
    </w:p>
    <w:p w14:paraId="6E5FF0F1" w14:textId="6EA7C625" w:rsidR="006B702B" w:rsidRPr="006B702B" w:rsidRDefault="00596A45" w:rsidP="00140906">
      <w:pPr>
        <w:pStyle w:val="Odstavecseseznamem"/>
        <w:numPr>
          <w:ilvl w:val="1"/>
          <w:numId w:val="31"/>
        </w:numPr>
        <w:suppressAutoHyphens/>
        <w:autoSpaceDE w:val="0"/>
        <w:spacing w:after="120"/>
        <w:ind w:left="426" w:hanging="426"/>
        <w:rPr>
          <w:rFonts w:asciiTheme="majorHAnsi" w:eastAsia="Geneva" w:hAnsiTheme="majorHAnsi"/>
          <w:bCs/>
          <w:iCs/>
        </w:rPr>
      </w:pPr>
      <w:r>
        <w:rPr>
          <w:rFonts w:asciiTheme="majorHAnsi" w:eastAsia="Geneva" w:hAnsiTheme="majorHAnsi"/>
          <w:b/>
          <w:bCs/>
          <w:iCs/>
        </w:rPr>
        <w:t>nižší míra metodického vedení</w:t>
      </w:r>
      <w:r w:rsidR="006B702B" w:rsidRPr="006B702B">
        <w:rPr>
          <w:rFonts w:asciiTheme="majorHAnsi" w:eastAsia="Geneva" w:hAnsiTheme="majorHAnsi"/>
          <w:bCs/>
          <w:iCs/>
        </w:rPr>
        <w:t xml:space="preserve"> mezi národní a krajskou úrovní (např. nejasná metodika týkající se monitoringu Nár</w:t>
      </w:r>
      <w:r w:rsidR="00B7430A">
        <w:rPr>
          <w:rFonts w:asciiTheme="majorHAnsi" w:eastAsia="Geneva" w:hAnsiTheme="majorHAnsi"/>
          <w:bCs/>
          <w:iCs/>
        </w:rPr>
        <w:t xml:space="preserve">odní a krajských RIS3 strategií), </w:t>
      </w:r>
    </w:p>
    <w:p w14:paraId="71AB4E5A" w14:textId="77777777" w:rsidR="006B702B" w:rsidRPr="006B702B" w:rsidRDefault="006B702B" w:rsidP="00140906">
      <w:pPr>
        <w:pStyle w:val="Odstavecseseznamem"/>
        <w:numPr>
          <w:ilvl w:val="1"/>
          <w:numId w:val="31"/>
        </w:numPr>
        <w:suppressAutoHyphens/>
        <w:autoSpaceDE w:val="0"/>
        <w:spacing w:after="120"/>
        <w:ind w:left="426" w:hanging="426"/>
        <w:rPr>
          <w:rFonts w:asciiTheme="majorHAnsi" w:eastAsia="Geneva" w:hAnsiTheme="majorHAnsi"/>
          <w:bCs/>
          <w:iCs/>
        </w:rPr>
      </w:pPr>
      <w:r w:rsidRPr="006B702B">
        <w:rPr>
          <w:rFonts w:asciiTheme="majorHAnsi" w:eastAsia="Geneva" w:hAnsiTheme="majorHAnsi"/>
          <w:bCs/>
          <w:iCs/>
        </w:rPr>
        <w:t xml:space="preserve">neexistence systémového nástroje na financování krajských RIS3 strategií. </w:t>
      </w:r>
    </w:p>
    <w:p w14:paraId="53E9B5D3" w14:textId="77777777" w:rsidR="006B702B" w:rsidRPr="009B06B5" w:rsidRDefault="006B702B" w:rsidP="009B06B5">
      <w:pPr>
        <w:rPr>
          <w:lang w:bidi="ar-SA"/>
        </w:rPr>
      </w:pPr>
    </w:p>
    <w:p w14:paraId="47F1457B" w14:textId="77777777" w:rsidR="006B702B" w:rsidRPr="00801932" w:rsidRDefault="006B702B" w:rsidP="006B702B">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bookmarkStart w:id="89" w:name="_Toc5626470"/>
      <w:r>
        <w:rPr>
          <w:rFonts w:asciiTheme="majorHAnsi" w:eastAsiaTheme="majorEastAsia" w:hAnsiTheme="majorHAnsi" w:cstheme="majorHAnsi"/>
          <w:i/>
          <w:caps/>
          <w:color w:val="004B8D"/>
          <w:spacing w:val="0"/>
          <w:sz w:val="22"/>
          <w:lang w:bidi="ar-SA"/>
        </w:rPr>
        <w:t>5.1.3 Smart a</w:t>
      </w:r>
      <w:r w:rsidR="00195183">
        <w:rPr>
          <w:rFonts w:asciiTheme="majorHAnsi" w:eastAsiaTheme="majorEastAsia" w:hAnsiTheme="majorHAnsi" w:cstheme="majorHAnsi"/>
          <w:i/>
          <w:caps/>
          <w:color w:val="004B8D"/>
          <w:spacing w:val="0"/>
          <w:sz w:val="22"/>
          <w:lang w:bidi="ar-SA"/>
        </w:rPr>
        <w:t>k</w:t>
      </w:r>
      <w:r>
        <w:rPr>
          <w:rFonts w:asciiTheme="majorHAnsi" w:eastAsiaTheme="majorEastAsia" w:hAnsiTheme="majorHAnsi" w:cstheme="majorHAnsi"/>
          <w:i/>
          <w:caps/>
          <w:color w:val="004B8D"/>
          <w:spacing w:val="0"/>
          <w:sz w:val="22"/>
          <w:lang w:bidi="ar-SA"/>
        </w:rPr>
        <w:t>celer</w:t>
      </w:r>
      <w:r w:rsidR="00195183">
        <w:rPr>
          <w:rFonts w:asciiTheme="majorHAnsi" w:eastAsiaTheme="majorEastAsia" w:hAnsiTheme="majorHAnsi" w:cstheme="majorHAnsi"/>
          <w:i/>
          <w:caps/>
          <w:color w:val="004B8D"/>
          <w:spacing w:val="0"/>
          <w:sz w:val="22"/>
          <w:lang w:bidi="ar-SA"/>
        </w:rPr>
        <w:t>á</w:t>
      </w:r>
      <w:r>
        <w:rPr>
          <w:rFonts w:asciiTheme="majorHAnsi" w:eastAsiaTheme="majorEastAsia" w:hAnsiTheme="majorHAnsi" w:cstheme="majorHAnsi"/>
          <w:i/>
          <w:caps/>
          <w:color w:val="004B8D"/>
          <w:spacing w:val="0"/>
          <w:sz w:val="22"/>
          <w:lang w:bidi="ar-SA"/>
        </w:rPr>
        <w:t>tor</w:t>
      </w:r>
      <w:bookmarkEnd w:id="89"/>
      <w:r>
        <w:rPr>
          <w:rFonts w:asciiTheme="majorHAnsi" w:eastAsiaTheme="majorEastAsia" w:hAnsiTheme="majorHAnsi" w:cstheme="majorHAnsi"/>
          <w:i/>
          <w:caps/>
          <w:color w:val="004B8D"/>
          <w:spacing w:val="0"/>
          <w:sz w:val="22"/>
          <w:lang w:bidi="ar-SA"/>
        </w:rPr>
        <w:t xml:space="preserve">  </w:t>
      </w:r>
    </w:p>
    <w:p w14:paraId="0E0353C2" w14:textId="77777777" w:rsidR="00195183" w:rsidRDefault="00195183" w:rsidP="00195183">
      <w:pPr>
        <w:rPr>
          <w:lang w:bidi="ar-SA"/>
        </w:rPr>
      </w:pPr>
      <w:r w:rsidRPr="00195183">
        <w:rPr>
          <w:lang w:bidi="ar-SA"/>
        </w:rPr>
        <w:t xml:space="preserve">Smart </w:t>
      </w:r>
      <w:r>
        <w:rPr>
          <w:lang w:bidi="ar-SA"/>
        </w:rPr>
        <w:t xml:space="preserve">Akcelerátor představuje výzvu OP VVV, která je jedním z nástrojů implementace RIS3 strategie na krajské úrovni. Jejím cílem je umožnit v jednotlivých krajích ČR rozvoj inovačního prostředí. Výzva je zaměřena na budování a rozvoj kapacit, organizačních struktur a know-how na úrovni krajů pro rozvoj VaVaI a pro kvalitní řízení EDP. </w:t>
      </w:r>
    </w:p>
    <w:p w14:paraId="30B0E550" w14:textId="77777777" w:rsidR="00240823" w:rsidRDefault="00195183" w:rsidP="00195183">
      <w:pPr>
        <w:rPr>
          <w:lang w:bidi="ar-SA"/>
        </w:rPr>
      </w:pPr>
      <w:r>
        <w:rPr>
          <w:lang w:bidi="ar-SA"/>
        </w:rPr>
        <w:t xml:space="preserve">Výzva Smart Akcelerátor I. byla vyhlášena k 15. 7. 2015, výzva Smart Akcelerátor II. byla vyhlášena ve druhém pololetí 2018. </w:t>
      </w:r>
      <w:r w:rsidR="00623590">
        <w:rPr>
          <w:lang w:bidi="ar-SA"/>
        </w:rPr>
        <w:t xml:space="preserve">Před vyhlášením druhé výzvy byla realizována na přelomu roku 2017/2018 interní evaluace MŠMT, jejímž cílem bylo zhodnotit úspěšné i méně úspěšné přínosy této intervence pro rozvoj inovačního prostředí v krajích. </w:t>
      </w:r>
    </w:p>
    <w:p w14:paraId="0D59EB82" w14:textId="77777777" w:rsidR="00240823" w:rsidRDefault="00623590" w:rsidP="00195183">
      <w:pPr>
        <w:rPr>
          <w:lang w:bidi="ar-SA"/>
        </w:rPr>
      </w:pPr>
      <w:r>
        <w:rPr>
          <w:lang w:bidi="ar-SA"/>
        </w:rPr>
        <w:t xml:space="preserve">Pozitivní přínosy Smart Akcelerátoru </w:t>
      </w:r>
      <w:r w:rsidR="007B3D73">
        <w:rPr>
          <w:lang w:bidi="ar-SA"/>
        </w:rPr>
        <w:t>byly identifikovány</w:t>
      </w:r>
      <w:r>
        <w:rPr>
          <w:lang w:bidi="ar-SA"/>
        </w:rPr>
        <w:t xml:space="preserve"> zejména v těchto oblastech</w:t>
      </w:r>
      <w:r>
        <w:rPr>
          <w:rStyle w:val="Znakapoznpodarou"/>
          <w:lang w:bidi="ar-SA"/>
        </w:rPr>
        <w:footnoteReference w:id="51"/>
      </w:r>
      <w:r>
        <w:rPr>
          <w:lang w:bidi="ar-SA"/>
        </w:rPr>
        <w:t>:</w:t>
      </w:r>
    </w:p>
    <w:p w14:paraId="4DAC8B9B" w14:textId="77777777" w:rsidR="005F469D" w:rsidRDefault="00240823" w:rsidP="00140906">
      <w:pPr>
        <w:pStyle w:val="Odstavecseseznamem"/>
        <w:numPr>
          <w:ilvl w:val="0"/>
          <w:numId w:val="33"/>
        </w:numPr>
        <w:tabs>
          <w:tab w:val="num" w:pos="1440"/>
        </w:tabs>
        <w:ind w:left="714" w:hanging="357"/>
        <w:rPr>
          <w:lang w:bidi="ar-SA"/>
        </w:rPr>
      </w:pPr>
      <w:r w:rsidRPr="005F469D">
        <w:rPr>
          <w:b/>
          <w:bCs/>
          <w:lang w:bidi="ar-SA"/>
        </w:rPr>
        <w:t xml:space="preserve">Budování kapacit </w:t>
      </w:r>
      <w:r w:rsidRPr="00240823">
        <w:rPr>
          <w:lang w:bidi="ar-SA"/>
        </w:rPr>
        <w:t>pro rozvoj inovací v</w:t>
      </w:r>
      <w:r w:rsidR="005B2179">
        <w:rPr>
          <w:lang w:bidi="ar-SA"/>
        </w:rPr>
        <w:t> </w:t>
      </w:r>
      <w:r w:rsidRPr="00240823">
        <w:rPr>
          <w:lang w:bidi="ar-SA"/>
        </w:rPr>
        <w:t>krajích</w:t>
      </w:r>
      <w:r w:rsidR="005B2179">
        <w:rPr>
          <w:lang w:bidi="ar-SA"/>
        </w:rPr>
        <w:t xml:space="preserve"> - v</w:t>
      </w:r>
      <w:r w:rsidRPr="00240823">
        <w:rPr>
          <w:lang w:bidi="ar-SA"/>
        </w:rPr>
        <w:t>ýrazný nárůst prostředků na podporu inovací</w:t>
      </w:r>
      <w:r w:rsidR="005B2179">
        <w:rPr>
          <w:lang w:bidi="ar-SA"/>
        </w:rPr>
        <w:t>, p</w:t>
      </w:r>
      <w:r w:rsidRPr="00240823">
        <w:rPr>
          <w:lang w:bidi="ar-SA"/>
        </w:rPr>
        <w:t>osílení personálních kapacit</w:t>
      </w:r>
      <w:r w:rsidR="005B2179">
        <w:rPr>
          <w:lang w:bidi="ar-SA"/>
        </w:rPr>
        <w:t>, k</w:t>
      </w:r>
      <w:r w:rsidRPr="00240823">
        <w:rPr>
          <w:lang w:bidi="ar-SA"/>
        </w:rPr>
        <w:t>oncentrace know-how v oblasti podpory inovačních aktivit</w:t>
      </w:r>
      <w:r w:rsidR="005B2179">
        <w:rPr>
          <w:lang w:bidi="ar-SA"/>
        </w:rPr>
        <w:t>, u</w:t>
      </w:r>
      <w:r w:rsidRPr="00240823">
        <w:rPr>
          <w:lang w:bidi="ar-SA"/>
        </w:rPr>
        <w:t>kotvení organizačních struktur a procesů pro řízení podpory inovačního prostředí a směrování k inteligentní specializaci regionu</w:t>
      </w:r>
      <w:r w:rsidR="005B2179">
        <w:rPr>
          <w:lang w:bidi="ar-SA"/>
        </w:rPr>
        <w:t>.</w:t>
      </w:r>
    </w:p>
    <w:p w14:paraId="6F7487AE" w14:textId="77777777" w:rsidR="005F469D" w:rsidRDefault="005B2179" w:rsidP="00140906">
      <w:pPr>
        <w:pStyle w:val="Odstavecseseznamem"/>
        <w:numPr>
          <w:ilvl w:val="0"/>
          <w:numId w:val="33"/>
        </w:numPr>
        <w:tabs>
          <w:tab w:val="num" w:pos="1440"/>
        </w:tabs>
        <w:ind w:left="714" w:hanging="357"/>
        <w:rPr>
          <w:lang w:bidi="ar-SA"/>
        </w:rPr>
      </w:pPr>
      <w:r w:rsidRPr="005F469D">
        <w:rPr>
          <w:b/>
          <w:bCs/>
          <w:lang w:bidi="ar-SA"/>
        </w:rPr>
        <w:t>Mapování</w:t>
      </w:r>
      <w:r w:rsidRPr="00240823">
        <w:rPr>
          <w:lang w:bidi="ar-SA"/>
        </w:rPr>
        <w:t xml:space="preserve"> </w:t>
      </w:r>
      <w:r>
        <w:rPr>
          <w:lang w:bidi="ar-SA"/>
        </w:rPr>
        <w:t>- i</w:t>
      </w:r>
      <w:r w:rsidR="00240823" w:rsidRPr="00240823">
        <w:rPr>
          <w:lang w:bidi="ar-SA"/>
        </w:rPr>
        <w:t>dentifik</w:t>
      </w:r>
      <w:r>
        <w:rPr>
          <w:lang w:bidi="ar-SA"/>
        </w:rPr>
        <w:t xml:space="preserve">ace krajských inovačních aktérů, </w:t>
      </w:r>
      <w:r w:rsidR="00240823" w:rsidRPr="00240823">
        <w:rPr>
          <w:lang w:bidi="ar-SA"/>
        </w:rPr>
        <w:t>jejich potenciálu a potřeb.</w:t>
      </w:r>
    </w:p>
    <w:p w14:paraId="64861E43" w14:textId="77777777" w:rsidR="005F469D" w:rsidRDefault="005B2179" w:rsidP="00140906">
      <w:pPr>
        <w:pStyle w:val="Odstavecseseznamem"/>
        <w:numPr>
          <w:ilvl w:val="0"/>
          <w:numId w:val="33"/>
        </w:numPr>
        <w:tabs>
          <w:tab w:val="num" w:pos="1440"/>
        </w:tabs>
        <w:ind w:left="714" w:hanging="357"/>
        <w:rPr>
          <w:lang w:bidi="ar-SA"/>
        </w:rPr>
      </w:pPr>
      <w:r w:rsidRPr="005F469D">
        <w:rPr>
          <w:b/>
          <w:bCs/>
          <w:lang w:bidi="ar-SA"/>
        </w:rPr>
        <w:t>Síťování</w:t>
      </w:r>
      <w:r w:rsidRPr="00240823">
        <w:rPr>
          <w:lang w:bidi="ar-SA"/>
        </w:rPr>
        <w:t xml:space="preserve"> </w:t>
      </w:r>
      <w:r>
        <w:rPr>
          <w:lang w:bidi="ar-SA"/>
        </w:rPr>
        <w:t>- p</w:t>
      </w:r>
      <w:r w:rsidR="00240823" w:rsidRPr="00240823">
        <w:rPr>
          <w:lang w:bidi="ar-SA"/>
        </w:rPr>
        <w:t>ropojování krajských inovačních aktérů.</w:t>
      </w:r>
    </w:p>
    <w:p w14:paraId="0843DA84" w14:textId="107F5DE0" w:rsidR="005F469D" w:rsidRDefault="00240823" w:rsidP="00140906">
      <w:pPr>
        <w:pStyle w:val="Odstavecseseznamem"/>
        <w:numPr>
          <w:ilvl w:val="0"/>
          <w:numId w:val="33"/>
        </w:numPr>
        <w:tabs>
          <w:tab w:val="num" w:pos="1440"/>
        </w:tabs>
        <w:ind w:left="714" w:hanging="357"/>
        <w:rPr>
          <w:lang w:bidi="ar-SA"/>
        </w:rPr>
      </w:pPr>
      <w:r w:rsidRPr="00240823">
        <w:rPr>
          <w:lang w:bidi="ar-SA"/>
        </w:rPr>
        <w:t xml:space="preserve">Vzbuzování a posilování </w:t>
      </w:r>
      <w:r w:rsidRPr="005F469D">
        <w:rPr>
          <w:b/>
          <w:bCs/>
          <w:lang w:bidi="ar-SA"/>
        </w:rPr>
        <w:t xml:space="preserve">zájmu politické reprezentace </w:t>
      </w:r>
      <w:r w:rsidRPr="00240823">
        <w:rPr>
          <w:lang w:bidi="ar-SA"/>
        </w:rPr>
        <w:t>a dalších stakeholderů o aktivity na podporu inovačního prostředí</w:t>
      </w:r>
      <w:r w:rsidR="005B2179">
        <w:rPr>
          <w:lang w:bidi="ar-SA"/>
        </w:rPr>
        <w:t xml:space="preserve"> – např. v některých krajích </w:t>
      </w:r>
      <w:r w:rsidR="005B2179" w:rsidRPr="005F469D">
        <w:rPr>
          <w:bCs/>
          <w:lang w:bidi="ar-SA"/>
        </w:rPr>
        <w:t>vznik specializované agentury a</w:t>
      </w:r>
      <w:r w:rsidR="0009462B">
        <w:rPr>
          <w:bCs/>
          <w:lang w:bidi="ar-SA"/>
        </w:rPr>
        <w:t> </w:t>
      </w:r>
      <w:r w:rsidR="005B2179" w:rsidRPr="005F469D">
        <w:rPr>
          <w:bCs/>
          <w:lang w:bidi="ar-SA"/>
        </w:rPr>
        <w:t xml:space="preserve">zvýšení schopnosti dosahovat konsenzu při rozhodování v rámci </w:t>
      </w:r>
      <w:r w:rsidR="005F469D" w:rsidRPr="005F469D">
        <w:rPr>
          <w:bCs/>
          <w:lang w:bidi="ar-SA"/>
        </w:rPr>
        <w:t>širšího partnerství</w:t>
      </w:r>
      <w:r w:rsidR="005F469D" w:rsidRPr="005F469D">
        <w:rPr>
          <w:lang w:bidi="ar-SA"/>
        </w:rPr>
        <w:t>.</w:t>
      </w:r>
    </w:p>
    <w:p w14:paraId="2E22BC31" w14:textId="77777777" w:rsidR="005F469D" w:rsidRDefault="00240823" w:rsidP="00140906">
      <w:pPr>
        <w:pStyle w:val="Odstavecseseznamem"/>
        <w:numPr>
          <w:ilvl w:val="0"/>
          <w:numId w:val="33"/>
        </w:numPr>
        <w:tabs>
          <w:tab w:val="num" w:pos="1440"/>
        </w:tabs>
        <w:ind w:left="714" w:hanging="357"/>
        <w:rPr>
          <w:lang w:bidi="ar-SA"/>
        </w:rPr>
      </w:pPr>
      <w:r w:rsidRPr="00240823">
        <w:rPr>
          <w:lang w:bidi="ar-SA"/>
        </w:rPr>
        <w:t>Zvýšení důvěryhodnosti kraje/agentury</w:t>
      </w:r>
      <w:r w:rsidR="009B14E5">
        <w:rPr>
          <w:lang w:bidi="ar-SA"/>
        </w:rPr>
        <w:t>,</w:t>
      </w:r>
      <w:r w:rsidRPr="00240823">
        <w:rPr>
          <w:lang w:bidi="ar-SA"/>
        </w:rPr>
        <w:t xml:space="preserve"> jakožto </w:t>
      </w:r>
      <w:r w:rsidRPr="005F469D">
        <w:rPr>
          <w:b/>
          <w:bCs/>
          <w:lang w:bidi="ar-SA"/>
        </w:rPr>
        <w:t xml:space="preserve">partnera </w:t>
      </w:r>
      <w:r w:rsidRPr="00240823">
        <w:rPr>
          <w:lang w:bidi="ar-SA"/>
        </w:rPr>
        <w:t>pro diskusi nad společným směřováním regionu i jakožto poskytovatele podpory/služeb, kter</w:t>
      </w:r>
      <w:r w:rsidR="005F469D">
        <w:rPr>
          <w:lang w:bidi="ar-SA"/>
        </w:rPr>
        <w:t>é jsou místním aktérům k užitku.</w:t>
      </w:r>
    </w:p>
    <w:p w14:paraId="059A6D29" w14:textId="77777777" w:rsidR="00247711" w:rsidRPr="00240823" w:rsidRDefault="00240823" w:rsidP="00140906">
      <w:pPr>
        <w:pStyle w:val="Odstavecseseznamem"/>
        <w:numPr>
          <w:ilvl w:val="0"/>
          <w:numId w:val="33"/>
        </w:numPr>
        <w:tabs>
          <w:tab w:val="num" w:pos="1440"/>
        </w:tabs>
        <w:ind w:left="714" w:hanging="357"/>
        <w:rPr>
          <w:lang w:bidi="ar-SA"/>
        </w:rPr>
      </w:pPr>
      <w:r w:rsidRPr="00240823">
        <w:rPr>
          <w:lang w:bidi="ar-SA"/>
        </w:rPr>
        <w:t xml:space="preserve">Vytvářet a facilitovat podmínky pro spolupráci, </w:t>
      </w:r>
      <w:r w:rsidRPr="005F469D">
        <w:rPr>
          <w:b/>
          <w:bCs/>
          <w:lang w:bidi="ar-SA"/>
        </w:rPr>
        <w:t xml:space="preserve">vznik a realizaci strategických projektů </w:t>
      </w:r>
      <w:r w:rsidRPr="00240823">
        <w:rPr>
          <w:lang w:bidi="ar-SA"/>
        </w:rPr>
        <w:t>– často projektů společných (sdružujících více aktérů)</w:t>
      </w:r>
      <w:r w:rsidR="005F469D">
        <w:rPr>
          <w:lang w:bidi="ar-SA"/>
        </w:rPr>
        <w:t>.</w:t>
      </w:r>
    </w:p>
    <w:p w14:paraId="105A6AB4" w14:textId="77777777" w:rsidR="00240823" w:rsidRDefault="005B2179" w:rsidP="00195183">
      <w:pPr>
        <w:rPr>
          <w:lang w:bidi="ar-SA"/>
        </w:rPr>
      </w:pPr>
      <w:r>
        <w:rPr>
          <w:lang w:bidi="ar-SA"/>
        </w:rPr>
        <w:t xml:space="preserve">Na druhou strany byly identifikovány </w:t>
      </w:r>
      <w:r w:rsidR="007B3D73">
        <w:rPr>
          <w:lang w:bidi="ar-SA"/>
        </w:rPr>
        <w:t xml:space="preserve">i </w:t>
      </w:r>
      <w:r>
        <w:rPr>
          <w:lang w:bidi="ar-SA"/>
        </w:rPr>
        <w:t xml:space="preserve">oblasti, ve kterých se nepodařilo </w:t>
      </w:r>
      <w:r w:rsidR="00625EB0">
        <w:rPr>
          <w:lang w:bidi="ar-SA"/>
        </w:rPr>
        <w:t xml:space="preserve">docílit </w:t>
      </w:r>
      <w:r w:rsidR="00BA1E40">
        <w:rPr>
          <w:lang w:bidi="ar-SA"/>
        </w:rPr>
        <w:t xml:space="preserve">výrazného posunu a potenciál Smart Akcelerátoru tak nebyl plně využit. </w:t>
      </w:r>
    </w:p>
    <w:p w14:paraId="77BC46B1" w14:textId="77777777" w:rsidR="007B3D73" w:rsidRPr="00240823" w:rsidRDefault="00BA1E40" w:rsidP="007B3D73">
      <w:pPr>
        <w:rPr>
          <w:lang w:bidi="ar-SA"/>
        </w:rPr>
      </w:pPr>
      <w:r w:rsidRPr="00BA1E40">
        <w:rPr>
          <w:bCs/>
          <w:lang w:bidi="ar-SA"/>
        </w:rPr>
        <w:lastRenderedPageBreak/>
        <w:t>Na r</w:t>
      </w:r>
      <w:r w:rsidR="00240823" w:rsidRPr="00BA1E40">
        <w:rPr>
          <w:bCs/>
          <w:lang w:bidi="ar-SA"/>
        </w:rPr>
        <w:t>egionální úrov</w:t>
      </w:r>
      <w:r w:rsidRPr="00BA1E40">
        <w:rPr>
          <w:bCs/>
          <w:lang w:bidi="ar-SA"/>
        </w:rPr>
        <w:t xml:space="preserve">ni </w:t>
      </w:r>
      <w:r>
        <w:rPr>
          <w:bCs/>
          <w:lang w:bidi="ar-SA"/>
        </w:rPr>
        <w:t xml:space="preserve">(v </w:t>
      </w:r>
      <w:r w:rsidR="00240823" w:rsidRPr="00BA1E40">
        <w:rPr>
          <w:lang w:bidi="ar-SA"/>
        </w:rPr>
        <w:t>někter</w:t>
      </w:r>
      <w:r>
        <w:rPr>
          <w:lang w:bidi="ar-SA"/>
        </w:rPr>
        <w:t>ých</w:t>
      </w:r>
      <w:r w:rsidR="00240823" w:rsidRPr="00BA1E40">
        <w:rPr>
          <w:lang w:bidi="ar-SA"/>
        </w:rPr>
        <w:t xml:space="preserve"> kraj</w:t>
      </w:r>
      <w:r>
        <w:rPr>
          <w:lang w:bidi="ar-SA"/>
        </w:rPr>
        <w:t xml:space="preserve">ích) se nepodařilo dostatečně přesvědčit </w:t>
      </w:r>
      <w:r w:rsidR="00240823" w:rsidRPr="00240823">
        <w:rPr>
          <w:lang w:bidi="ar-SA"/>
        </w:rPr>
        <w:t>širší politickou reprezentaci o prospěšnosti podpory VaVa</w:t>
      </w:r>
      <w:r>
        <w:rPr>
          <w:lang w:bidi="ar-SA"/>
        </w:rPr>
        <w:t>I</w:t>
      </w:r>
      <w:r w:rsidR="00240823" w:rsidRPr="00240823">
        <w:rPr>
          <w:lang w:bidi="ar-SA"/>
        </w:rPr>
        <w:t xml:space="preserve"> a prosazovat </w:t>
      </w:r>
      <w:r>
        <w:rPr>
          <w:lang w:bidi="ar-SA"/>
        </w:rPr>
        <w:t xml:space="preserve">jeho </w:t>
      </w:r>
      <w:r w:rsidR="00240823" w:rsidRPr="00240823">
        <w:rPr>
          <w:lang w:bidi="ar-SA"/>
        </w:rPr>
        <w:t xml:space="preserve">podporu jako aktuální téma. </w:t>
      </w:r>
      <w:r>
        <w:rPr>
          <w:lang w:bidi="ar-SA"/>
        </w:rPr>
        <w:t>R</w:t>
      </w:r>
      <w:r w:rsidR="00240823" w:rsidRPr="00240823">
        <w:rPr>
          <w:lang w:bidi="ar-SA"/>
        </w:rPr>
        <w:t xml:space="preserve">ole krajské rady pro inovace a </w:t>
      </w:r>
      <w:r>
        <w:rPr>
          <w:lang w:bidi="ar-SA"/>
        </w:rPr>
        <w:t xml:space="preserve">krajských </w:t>
      </w:r>
      <w:r w:rsidR="00240823" w:rsidRPr="00240823">
        <w:rPr>
          <w:lang w:bidi="ar-SA"/>
        </w:rPr>
        <w:t xml:space="preserve">inovačních platforem </w:t>
      </w:r>
      <w:r>
        <w:rPr>
          <w:lang w:bidi="ar-SA"/>
        </w:rPr>
        <w:t>je</w:t>
      </w:r>
      <w:r w:rsidR="00240823" w:rsidRPr="00240823">
        <w:rPr>
          <w:lang w:bidi="ar-SA"/>
        </w:rPr>
        <w:t xml:space="preserve"> </w:t>
      </w:r>
      <w:r>
        <w:rPr>
          <w:lang w:bidi="ar-SA"/>
        </w:rPr>
        <w:t>mnohde pouze f</w:t>
      </w:r>
      <w:r w:rsidRPr="00240823">
        <w:rPr>
          <w:lang w:bidi="ar-SA"/>
        </w:rPr>
        <w:t>ormální</w:t>
      </w:r>
      <w:r>
        <w:rPr>
          <w:lang w:bidi="ar-SA"/>
        </w:rPr>
        <w:t xml:space="preserve">, </w:t>
      </w:r>
      <w:r w:rsidR="00240823" w:rsidRPr="00240823">
        <w:rPr>
          <w:lang w:bidi="ar-SA"/>
        </w:rPr>
        <w:t xml:space="preserve">z podnětů </w:t>
      </w:r>
      <w:r>
        <w:rPr>
          <w:lang w:bidi="ar-SA"/>
        </w:rPr>
        <w:t xml:space="preserve">vzešlých z EDP procesu </w:t>
      </w:r>
      <w:r w:rsidR="00240823" w:rsidRPr="00240823">
        <w:rPr>
          <w:lang w:bidi="ar-SA"/>
        </w:rPr>
        <w:t>se nestávají konkrétní aktivity/projekty</w:t>
      </w:r>
      <w:r>
        <w:rPr>
          <w:lang w:bidi="ar-SA"/>
        </w:rPr>
        <w:t xml:space="preserve"> a vlastní proces EDP </w:t>
      </w:r>
      <w:r w:rsidR="00240823" w:rsidRPr="00240823">
        <w:rPr>
          <w:lang w:bidi="ar-SA"/>
        </w:rPr>
        <w:t>je reaktivní a není tažený silným lídrem (firm</w:t>
      </w:r>
      <w:r>
        <w:rPr>
          <w:lang w:bidi="ar-SA"/>
        </w:rPr>
        <w:t>ou</w:t>
      </w:r>
      <w:r w:rsidR="00240823" w:rsidRPr="00240823">
        <w:rPr>
          <w:lang w:bidi="ar-SA"/>
        </w:rPr>
        <w:t xml:space="preserve">, popř. </w:t>
      </w:r>
      <w:r>
        <w:rPr>
          <w:lang w:bidi="ar-SA"/>
        </w:rPr>
        <w:t>výzkumnou organizací</w:t>
      </w:r>
      <w:r w:rsidR="00240823" w:rsidRPr="00240823">
        <w:rPr>
          <w:lang w:bidi="ar-SA"/>
        </w:rPr>
        <w:t>)</w:t>
      </w:r>
      <w:r>
        <w:rPr>
          <w:lang w:bidi="ar-SA"/>
        </w:rPr>
        <w:t>.</w:t>
      </w:r>
      <w:r w:rsidR="007B3D73">
        <w:rPr>
          <w:lang w:bidi="ar-SA"/>
        </w:rPr>
        <w:t xml:space="preserve"> </w:t>
      </w:r>
      <w:r w:rsidR="007B3D73" w:rsidRPr="00240823">
        <w:rPr>
          <w:lang w:bidi="ar-SA"/>
        </w:rPr>
        <w:t xml:space="preserve">Nedaří se profilovat oblasti inteligentní specializace </w:t>
      </w:r>
      <w:r w:rsidR="007B3D73">
        <w:rPr>
          <w:lang w:bidi="ar-SA"/>
        </w:rPr>
        <w:t xml:space="preserve">a nabídnou dostatečně atraktivní nástroje pomoci některým typům inovačních aktérů. </w:t>
      </w:r>
    </w:p>
    <w:p w14:paraId="0CF0E333" w14:textId="259B583F" w:rsidR="00247711" w:rsidRPr="00240823" w:rsidRDefault="00354792" w:rsidP="00354792">
      <w:pPr>
        <w:tabs>
          <w:tab w:val="num" w:pos="720"/>
          <w:tab w:val="num" w:pos="1440"/>
        </w:tabs>
        <w:rPr>
          <w:lang w:bidi="ar-SA"/>
        </w:rPr>
      </w:pPr>
      <w:r w:rsidRPr="00354792">
        <w:rPr>
          <w:bCs/>
          <w:lang w:bidi="ar-SA"/>
        </w:rPr>
        <w:t>Na n</w:t>
      </w:r>
      <w:r w:rsidR="00240823" w:rsidRPr="00354792">
        <w:rPr>
          <w:bCs/>
          <w:lang w:bidi="ar-SA"/>
        </w:rPr>
        <w:t>árodní úrov</w:t>
      </w:r>
      <w:r w:rsidRPr="00354792">
        <w:rPr>
          <w:bCs/>
          <w:lang w:bidi="ar-SA"/>
        </w:rPr>
        <w:t>ni byl</w:t>
      </w:r>
      <w:r w:rsidR="00DC10C5">
        <w:rPr>
          <w:bCs/>
          <w:lang w:bidi="ar-SA"/>
        </w:rPr>
        <w:t>a</w:t>
      </w:r>
      <w:r>
        <w:rPr>
          <w:bCs/>
          <w:lang w:bidi="ar-SA"/>
        </w:rPr>
        <w:t xml:space="preserve"> konstatován</w:t>
      </w:r>
      <w:r w:rsidR="00DC10C5">
        <w:rPr>
          <w:bCs/>
          <w:lang w:bidi="ar-SA"/>
        </w:rPr>
        <w:t>a</w:t>
      </w:r>
      <w:r>
        <w:rPr>
          <w:bCs/>
          <w:lang w:bidi="ar-SA"/>
        </w:rPr>
        <w:t xml:space="preserve"> </w:t>
      </w:r>
      <w:r w:rsidR="00DC10C5">
        <w:rPr>
          <w:b/>
          <w:bCs/>
          <w:lang w:bidi="ar-SA"/>
        </w:rPr>
        <w:t>omezená funkčnost</w:t>
      </w:r>
      <w:r w:rsidR="00DC10C5" w:rsidRPr="009B14E5">
        <w:rPr>
          <w:b/>
          <w:lang w:bidi="ar-SA"/>
        </w:rPr>
        <w:t xml:space="preserve"> </w:t>
      </w:r>
      <w:r w:rsidR="00240823" w:rsidRPr="009B14E5">
        <w:rPr>
          <w:b/>
          <w:lang w:bidi="ar-SA"/>
        </w:rPr>
        <w:t>národních orgánů v roli gestora</w:t>
      </w:r>
      <w:r w:rsidR="00240823" w:rsidRPr="00240823">
        <w:rPr>
          <w:lang w:bidi="ar-SA"/>
        </w:rPr>
        <w:t xml:space="preserve"> RIS3</w:t>
      </w:r>
      <w:r>
        <w:rPr>
          <w:lang w:bidi="ar-SA"/>
        </w:rPr>
        <w:t xml:space="preserve"> strategie. Ačkoliv jsou nastaveny určité mechanizmy mezi národní a krajskou úrovní, tak jsou spíše na úrovni monitoringu</w:t>
      </w:r>
      <w:r w:rsidR="00814FEC">
        <w:rPr>
          <w:lang w:bidi="ar-SA"/>
        </w:rPr>
        <w:t>.</w:t>
      </w:r>
      <w:r>
        <w:rPr>
          <w:lang w:bidi="ar-SA"/>
        </w:rPr>
        <w:t xml:space="preserve"> Taktéž </w:t>
      </w:r>
      <w:r w:rsidR="00DC10C5">
        <w:rPr>
          <w:lang w:bidi="ar-SA"/>
        </w:rPr>
        <w:t xml:space="preserve">v některých krajích </w:t>
      </w:r>
      <w:r>
        <w:rPr>
          <w:lang w:bidi="ar-SA"/>
        </w:rPr>
        <w:t xml:space="preserve">nefungují mechanizmy přenosu podnětů z krajské úrovně (KRI, KIP) na národní úroveň </w:t>
      </w:r>
      <w:r w:rsidRPr="00240823">
        <w:rPr>
          <w:lang w:bidi="ar-SA"/>
        </w:rPr>
        <w:t>(národní a ESIF dotační programy, legislativa, regulace)</w:t>
      </w:r>
      <w:r>
        <w:rPr>
          <w:lang w:bidi="ar-SA"/>
        </w:rPr>
        <w:t xml:space="preserve">. </w:t>
      </w:r>
      <w:r w:rsidR="00240823" w:rsidRPr="00240823">
        <w:rPr>
          <w:lang w:bidi="ar-SA"/>
        </w:rPr>
        <w:t xml:space="preserve">Bez potřebné kapacity a </w:t>
      </w:r>
      <w:r w:rsidR="00DC10C5">
        <w:rPr>
          <w:lang w:bidi="ar-SA"/>
        </w:rPr>
        <w:t>metodické podpory</w:t>
      </w:r>
      <w:r w:rsidR="00240823" w:rsidRPr="00240823">
        <w:rPr>
          <w:lang w:bidi="ar-SA"/>
        </w:rPr>
        <w:t xml:space="preserve"> národní úrovně, poskytování centrální koncepční opory krajům, koordinace určitý</w:t>
      </w:r>
      <w:r w:rsidR="005F469D">
        <w:rPr>
          <w:lang w:bidi="ar-SA"/>
        </w:rPr>
        <w:t xml:space="preserve">ch průřezových aktivit/postupů </w:t>
      </w:r>
      <w:r w:rsidR="00240823" w:rsidRPr="00240823">
        <w:rPr>
          <w:lang w:bidi="ar-SA"/>
        </w:rPr>
        <w:t xml:space="preserve">a obecně těsnější spolupráce národní úrovně s kraji </w:t>
      </w:r>
      <w:r w:rsidR="00240823" w:rsidRPr="005F469D">
        <w:rPr>
          <w:bCs/>
          <w:lang w:bidi="ar-SA"/>
        </w:rPr>
        <w:t>nedosahuje výzva S</w:t>
      </w:r>
      <w:r w:rsidR="006E4033">
        <w:rPr>
          <w:bCs/>
          <w:lang w:bidi="ar-SA"/>
        </w:rPr>
        <w:t>mart Akcelerátor</w:t>
      </w:r>
      <w:r w:rsidR="00240823" w:rsidRPr="005F469D">
        <w:rPr>
          <w:bCs/>
          <w:lang w:bidi="ar-SA"/>
        </w:rPr>
        <w:t xml:space="preserve"> svého plného potenciálu</w:t>
      </w:r>
      <w:r w:rsidR="005F469D">
        <w:rPr>
          <w:rStyle w:val="Znakapoznpodarou"/>
          <w:bCs/>
          <w:lang w:bidi="ar-SA"/>
        </w:rPr>
        <w:footnoteReference w:id="52"/>
      </w:r>
      <w:r w:rsidR="00240823" w:rsidRPr="005F469D">
        <w:rPr>
          <w:lang w:bidi="ar-SA"/>
        </w:rPr>
        <w:t>.</w:t>
      </w:r>
    </w:p>
    <w:p w14:paraId="1048C86A" w14:textId="77777777" w:rsidR="00892C14" w:rsidRDefault="003B7706" w:rsidP="00195183">
      <w:pPr>
        <w:rPr>
          <w:lang w:bidi="ar-SA"/>
        </w:rPr>
      </w:pPr>
      <w:r>
        <w:rPr>
          <w:lang w:bidi="ar-SA"/>
        </w:rPr>
        <w:t>Je nutné</w:t>
      </w:r>
      <w:r w:rsidR="00625EB0">
        <w:rPr>
          <w:lang w:bidi="ar-SA"/>
        </w:rPr>
        <w:t xml:space="preserve"> konstatovat, že mnohé závěry evaluace Smart Akcelerátoru potvrzují </w:t>
      </w:r>
      <w:r w:rsidR="00BA1E40">
        <w:rPr>
          <w:lang w:bidi="ar-SA"/>
        </w:rPr>
        <w:t>hlavní zjištění</w:t>
      </w:r>
      <w:r w:rsidR="00625EB0">
        <w:rPr>
          <w:lang w:bidi="ar-SA"/>
        </w:rPr>
        <w:t xml:space="preserve"> vzešlé z</w:t>
      </w:r>
      <w:r w:rsidR="00BA1E40">
        <w:rPr>
          <w:lang w:bidi="ar-SA"/>
        </w:rPr>
        <w:t xml:space="preserve"> mid-term </w:t>
      </w:r>
      <w:r w:rsidR="00625EB0">
        <w:rPr>
          <w:lang w:bidi="ar-SA"/>
        </w:rPr>
        <w:t>evaluace Národní RIS3 strategie.</w:t>
      </w:r>
      <w:r>
        <w:rPr>
          <w:lang w:bidi="ar-SA"/>
        </w:rPr>
        <w:t xml:space="preserve"> Ačkoliv obě evaluace od sebe dělí více jak rok a za tu dobu došlo k výraznému </w:t>
      </w:r>
      <w:r w:rsidR="00DC10C5">
        <w:rPr>
          <w:lang w:bidi="ar-SA"/>
        </w:rPr>
        <w:t xml:space="preserve">pozitivnímu </w:t>
      </w:r>
      <w:r>
        <w:rPr>
          <w:lang w:bidi="ar-SA"/>
        </w:rPr>
        <w:t xml:space="preserve">posunu </w:t>
      </w:r>
      <w:r w:rsidR="00DC10C5">
        <w:rPr>
          <w:lang w:bidi="ar-SA"/>
        </w:rPr>
        <w:t> v komunikaci a metodické podpoře</w:t>
      </w:r>
      <w:r>
        <w:rPr>
          <w:lang w:bidi="ar-SA"/>
        </w:rPr>
        <w:t>, výše uvedená konstatování stále zůstávají aktuální a v platnosti.</w:t>
      </w:r>
    </w:p>
    <w:p w14:paraId="533D366A" w14:textId="77777777" w:rsidR="00E20EF5" w:rsidRPr="00195183" w:rsidRDefault="00E20EF5" w:rsidP="00195183">
      <w:pPr>
        <w:rPr>
          <w:lang w:bidi="ar-SA"/>
        </w:rPr>
      </w:pPr>
      <w:r w:rsidRPr="00195183">
        <w:rPr>
          <w:lang w:bidi="ar-SA"/>
        </w:rPr>
        <w:br w:type="page"/>
      </w:r>
    </w:p>
    <w:p w14:paraId="6E5D6B47" w14:textId="77777777" w:rsidR="006C47AC" w:rsidRDefault="006107DB" w:rsidP="006C47AC">
      <w:pPr>
        <w:pStyle w:val="Nadpis2"/>
        <w:keepNext/>
        <w:keepLines/>
        <w:numPr>
          <w:ilvl w:val="0"/>
          <w:numId w:val="0"/>
        </w:numPr>
        <w:pBdr>
          <w:top w:val="none" w:sz="0" w:space="0" w:color="auto"/>
          <w:left w:val="none" w:sz="0" w:space="0" w:color="auto"/>
        </w:pBdr>
        <w:shd w:val="clear" w:color="auto" w:fill="auto"/>
        <w:spacing w:before="200" w:after="0"/>
        <w:rPr>
          <w:rFonts w:asciiTheme="majorHAnsi" w:eastAsiaTheme="majorEastAsia" w:hAnsiTheme="majorHAnsi" w:cstheme="majorBidi"/>
          <w:bCs/>
          <w:color w:val="004B8D"/>
          <w:spacing w:val="0"/>
          <w:szCs w:val="26"/>
          <w:lang w:bidi="ar-SA"/>
        </w:rPr>
      </w:pPr>
      <w:bookmarkStart w:id="90" w:name="_Toc5626471"/>
      <w:r>
        <w:rPr>
          <w:rFonts w:asciiTheme="majorHAnsi" w:eastAsiaTheme="majorEastAsia" w:hAnsiTheme="majorHAnsi" w:cstheme="majorBidi"/>
          <w:bCs/>
          <w:color w:val="004B8D"/>
          <w:spacing w:val="0"/>
          <w:szCs w:val="26"/>
          <w:lang w:bidi="ar-SA"/>
        </w:rPr>
        <w:lastRenderedPageBreak/>
        <w:t>5</w:t>
      </w:r>
      <w:r w:rsidR="006C47AC">
        <w:rPr>
          <w:rFonts w:asciiTheme="majorHAnsi" w:eastAsiaTheme="majorEastAsia" w:hAnsiTheme="majorHAnsi" w:cstheme="majorBidi"/>
          <w:bCs/>
          <w:color w:val="004B8D"/>
          <w:spacing w:val="0"/>
          <w:szCs w:val="26"/>
          <w:lang w:bidi="ar-SA"/>
        </w:rPr>
        <w:t>.2 Podíl krajů na</w:t>
      </w:r>
      <w:r w:rsidR="006C47AC" w:rsidRPr="003E4352">
        <w:rPr>
          <w:rFonts w:asciiTheme="majorHAnsi" w:eastAsiaTheme="majorEastAsia" w:hAnsiTheme="majorHAnsi" w:cstheme="majorBidi"/>
          <w:bCs/>
          <w:color w:val="004B8D"/>
          <w:spacing w:val="0"/>
          <w:szCs w:val="26"/>
          <w:lang w:bidi="ar-SA"/>
        </w:rPr>
        <w:t xml:space="preserve"> pl</w:t>
      </w:r>
      <w:r w:rsidR="006C47AC">
        <w:rPr>
          <w:rFonts w:asciiTheme="majorHAnsi" w:eastAsiaTheme="majorEastAsia" w:hAnsiTheme="majorHAnsi" w:cstheme="majorBidi"/>
          <w:bCs/>
          <w:color w:val="004B8D"/>
          <w:spacing w:val="0"/>
          <w:szCs w:val="26"/>
          <w:lang w:bidi="ar-SA"/>
        </w:rPr>
        <w:t>nění</w:t>
      </w:r>
      <w:r w:rsidR="006C47AC" w:rsidRPr="003E4352">
        <w:rPr>
          <w:rFonts w:asciiTheme="majorHAnsi" w:eastAsiaTheme="majorEastAsia" w:hAnsiTheme="majorHAnsi" w:cstheme="majorBidi"/>
          <w:bCs/>
          <w:color w:val="004B8D"/>
          <w:spacing w:val="0"/>
          <w:szCs w:val="26"/>
          <w:lang w:bidi="ar-SA"/>
        </w:rPr>
        <w:t xml:space="preserve"> </w:t>
      </w:r>
      <w:r w:rsidR="006C47AC">
        <w:rPr>
          <w:rFonts w:asciiTheme="majorHAnsi" w:eastAsiaTheme="majorEastAsia" w:hAnsiTheme="majorHAnsi" w:cstheme="majorBidi"/>
          <w:bCs/>
          <w:color w:val="004B8D"/>
          <w:spacing w:val="0"/>
          <w:szCs w:val="26"/>
          <w:lang w:bidi="ar-SA"/>
        </w:rPr>
        <w:t xml:space="preserve">Národní </w:t>
      </w:r>
      <w:r w:rsidR="006C47AC" w:rsidRPr="003E4352">
        <w:rPr>
          <w:rFonts w:asciiTheme="majorHAnsi" w:eastAsiaTheme="majorEastAsia" w:hAnsiTheme="majorHAnsi" w:cstheme="majorBidi"/>
          <w:bCs/>
          <w:color w:val="004B8D"/>
          <w:spacing w:val="0"/>
          <w:szCs w:val="26"/>
          <w:lang w:bidi="ar-SA"/>
        </w:rPr>
        <w:t xml:space="preserve">RIS3  </w:t>
      </w:r>
      <w:r w:rsidR="006C47AC">
        <w:rPr>
          <w:rFonts w:asciiTheme="majorHAnsi" w:eastAsiaTheme="majorEastAsia" w:hAnsiTheme="majorHAnsi" w:cstheme="majorBidi"/>
          <w:bCs/>
          <w:color w:val="004B8D"/>
          <w:spacing w:val="0"/>
          <w:szCs w:val="26"/>
          <w:lang w:bidi="ar-SA"/>
        </w:rPr>
        <w:t>strategie</w:t>
      </w:r>
      <w:bookmarkEnd w:id="90"/>
    </w:p>
    <w:p w14:paraId="10E97CC8" w14:textId="77777777" w:rsidR="00CD5995" w:rsidRDefault="00CD5995" w:rsidP="003E4352">
      <w:pPr>
        <w:rPr>
          <w:lang w:bidi="ar-SA"/>
        </w:rPr>
      </w:pPr>
      <w:r>
        <w:rPr>
          <w:lang w:bidi="ar-SA"/>
        </w:rPr>
        <w:t xml:space="preserve">Níže uvedená analýza hodnotí finanční dopad plnění Národní RIS3 strategie z pohledu alokace finančních prostředků prostřednictvím realizovaných projektů do jednotlivých krajů. </w:t>
      </w:r>
    </w:p>
    <w:p w14:paraId="6864AD0A" w14:textId="40F54BBE" w:rsidR="008859CF" w:rsidRDefault="008859CF" w:rsidP="003E4352">
      <w:pPr>
        <w:rPr>
          <w:lang w:bidi="ar-SA"/>
        </w:rPr>
      </w:pPr>
      <w:r>
        <w:rPr>
          <w:lang w:bidi="ar-SA"/>
        </w:rPr>
        <w:t>Z porovnání alokace finančních prostředků spadajících pod Národní RIS3 strategii je zřejmé, že více než polovina z nich je soustředěna ve třech krajích</w:t>
      </w:r>
      <w:r w:rsidR="006E4033">
        <w:rPr>
          <w:lang w:bidi="ar-SA"/>
        </w:rPr>
        <w:t>:</w:t>
      </w:r>
      <w:r>
        <w:rPr>
          <w:lang w:bidi="ar-SA"/>
        </w:rPr>
        <w:t xml:space="preserve"> Praze, Jihomoravském a Středočeském kraji. Nejvyšší podíl </w:t>
      </w:r>
      <w:r w:rsidR="006E4033">
        <w:rPr>
          <w:lang w:bidi="ar-SA"/>
        </w:rPr>
        <w:t>vykazuje</w:t>
      </w:r>
      <w:r>
        <w:rPr>
          <w:lang w:bidi="ar-SA"/>
        </w:rPr>
        <w:t xml:space="preserve"> Pr</w:t>
      </w:r>
      <w:r w:rsidR="00DD187B">
        <w:rPr>
          <w:lang w:bidi="ar-SA"/>
        </w:rPr>
        <w:t>a</w:t>
      </w:r>
      <w:r>
        <w:rPr>
          <w:lang w:bidi="ar-SA"/>
        </w:rPr>
        <w:t>ha, avšak hlavně díky silné akademické a vědeckovýzkumné základně a</w:t>
      </w:r>
      <w:r w:rsidR="00491BC1">
        <w:rPr>
          <w:lang w:bidi="ar-SA"/>
        </w:rPr>
        <w:t> </w:t>
      </w:r>
      <w:r>
        <w:rPr>
          <w:lang w:bidi="ar-SA"/>
        </w:rPr>
        <w:t xml:space="preserve">účasti v národních programech podpory. Pokud </w:t>
      </w:r>
      <w:r w:rsidR="006E4033">
        <w:rPr>
          <w:lang w:bidi="ar-SA"/>
        </w:rPr>
        <w:t xml:space="preserve">bychom uvažovali </w:t>
      </w:r>
      <w:r>
        <w:rPr>
          <w:lang w:bidi="ar-SA"/>
        </w:rPr>
        <w:t xml:space="preserve">projekty </w:t>
      </w:r>
      <w:r w:rsidR="006E4033">
        <w:rPr>
          <w:lang w:bidi="ar-SA"/>
        </w:rPr>
        <w:t xml:space="preserve">pouze </w:t>
      </w:r>
      <w:r>
        <w:rPr>
          <w:lang w:bidi="ar-SA"/>
        </w:rPr>
        <w:t>z operačních programů, byla by Pr</w:t>
      </w:r>
      <w:r w:rsidR="004C0B0E">
        <w:rPr>
          <w:lang w:bidi="ar-SA"/>
        </w:rPr>
        <w:t>a</w:t>
      </w:r>
      <w:r>
        <w:rPr>
          <w:lang w:bidi="ar-SA"/>
        </w:rPr>
        <w:t xml:space="preserve">ha až </w:t>
      </w:r>
      <w:r w:rsidR="006E4033">
        <w:rPr>
          <w:lang w:bidi="ar-SA"/>
        </w:rPr>
        <w:t>na t</w:t>
      </w:r>
      <w:r>
        <w:rPr>
          <w:lang w:bidi="ar-SA"/>
        </w:rPr>
        <w:t>řetí</w:t>
      </w:r>
      <w:r w:rsidR="006E4033">
        <w:rPr>
          <w:lang w:bidi="ar-SA"/>
        </w:rPr>
        <w:t>m místě</w:t>
      </w:r>
      <w:r w:rsidR="006E4033">
        <w:rPr>
          <w:rStyle w:val="Znakapoznpodarou"/>
          <w:lang w:bidi="ar-SA"/>
        </w:rPr>
        <w:footnoteReference w:id="53"/>
      </w:r>
      <w:r>
        <w:rPr>
          <w:lang w:bidi="ar-SA"/>
        </w:rPr>
        <w:t>.</w:t>
      </w:r>
    </w:p>
    <w:p w14:paraId="794F5529" w14:textId="77777777" w:rsidR="004C0B0E" w:rsidRDefault="004C0B0E" w:rsidP="003E4352">
      <w:pPr>
        <w:rPr>
          <w:lang w:bidi="ar-SA"/>
        </w:rPr>
      </w:pPr>
      <w:bookmarkStart w:id="91" w:name="_Toc5626507"/>
      <w:r w:rsidRPr="00570F07">
        <w:rPr>
          <w:b/>
          <w:szCs w:val="22"/>
        </w:rPr>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24</w:t>
      </w:r>
      <w:r w:rsidR="008A090D" w:rsidRPr="00570F07">
        <w:rPr>
          <w:b/>
          <w:szCs w:val="22"/>
        </w:rPr>
        <w:fldChar w:fldCharType="end"/>
      </w:r>
      <w:r w:rsidRPr="00570F07">
        <w:rPr>
          <w:b/>
          <w:szCs w:val="22"/>
        </w:rPr>
        <w:t xml:space="preserve"> </w:t>
      </w:r>
      <w:r>
        <w:rPr>
          <w:b/>
          <w:szCs w:val="22"/>
        </w:rPr>
        <w:t xml:space="preserve">– </w:t>
      </w:r>
      <w:r w:rsidRPr="004C0B0E">
        <w:rPr>
          <w:szCs w:val="22"/>
        </w:rPr>
        <w:t>Celkové započitatelné výdaje programů NRIS3 v krajích ČR</w:t>
      </w:r>
      <w:bookmarkEnd w:id="91"/>
    </w:p>
    <w:p w14:paraId="738301C0" w14:textId="77777777" w:rsidR="003E4352" w:rsidRDefault="00E87C41" w:rsidP="00426268">
      <w:pPr>
        <w:spacing w:after="0"/>
        <w:rPr>
          <w:lang w:bidi="ar-SA"/>
        </w:rPr>
      </w:pPr>
      <w:r w:rsidRPr="00E87C41">
        <w:rPr>
          <w:noProof/>
          <w:lang w:eastAsia="cs-CZ" w:bidi="ar-SA"/>
        </w:rPr>
        <w:drawing>
          <wp:inline distT="0" distB="0" distL="0" distR="0" wp14:anchorId="292D9253" wp14:editId="54533E7C">
            <wp:extent cx="5399405" cy="2072390"/>
            <wp:effectExtent l="19050" t="0" r="0" b="0"/>
            <wp:docPr id="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srcRect/>
                    <a:stretch>
                      <a:fillRect/>
                    </a:stretch>
                  </pic:blipFill>
                  <pic:spPr bwMode="auto">
                    <a:xfrm>
                      <a:off x="0" y="0"/>
                      <a:ext cx="5399405" cy="2072390"/>
                    </a:xfrm>
                    <a:prstGeom prst="rect">
                      <a:avLst/>
                    </a:prstGeom>
                    <a:noFill/>
                    <a:ln w="9525">
                      <a:noFill/>
                      <a:miter lim="800000"/>
                      <a:headEnd/>
                      <a:tailEnd/>
                    </a:ln>
                  </pic:spPr>
                </pic:pic>
              </a:graphicData>
            </a:graphic>
          </wp:inline>
        </w:drawing>
      </w:r>
    </w:p>
    <w:p w14:paraId="03E70655" w14:textId="77777777" w:rsidR="00187995" w:rsidRDefault="00426268" w:rsidP="00426268">
      <w:pPr>
        <w:spacing w:before="0" w:after="0" w:line="240" w:lineRule="auto"/>
        <w:rPr>
          <w:lang w:bidi="ar-SA"/>
        </w:rPr>
      </w:pPr>
      <w:r w:rsidRPr="00F40DC7">
        <w:rPr>
          <w:rFonts w:asciiTheme="majorHAnsi" w:hAnsiTheme="majorHAnsi" w:cstheme="majorHAnsi"/>
          <w:sz w:val="18"/>
          <w:szCs w:val="18"/>
          <w:lang w:bidi="ar-SA"/>
        </w:rPr>
        <w:t>Zdroj: monitoring MPO, vlastní zpracování</w:t>
      </w:r>
    </w:p>
    <w:p w14:paraId="50EAADCA" w14:textId="77777777" w:rsidR="00E20EF5" w:rsidRDefault="004B14F6" w:rsidP="004B14F6">
      <w:pPr>
        <w:rPr>
          <w:rFonts w:asciiTheme="majorHAnsi" w:eastAsiaTheme="majorEastAsia" w:hAnsiTheme="majorHAnsi" w:cstheme="majorHAnsi"/>
          <w:i/>
          <w:caps/>
          <w:color w:val="004B8D"/>
          <w:spacing w:val="0"/>
          <w:lang w:bidi="ar-SA"/>
        </w:rPr>
      </w:pPr>
      <w:r>
        <w:rPr>
          <w:lang w:bidi="ar-SA"/>
        </w:rPr>
        <w:t>Samotný objem čerpání finančních prostředků však vypovídá málo o skutečném inovačním potenciálu regionu. Už proto, že ekonomická síla regionů ČR se dost výrazně liší.</w:t>
      </w:r>
    </w:p>
    <w:p w14:paraId="561A0017" w14:textId="77777777" w:rsidR="00E20EF5" w:rsidRDefault="00E20EF5" w:rsidP="002C76AB">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p>
    <w:p w14:paraId="3E8246CD" w14:textId="77777777" w:rsidR="00E87C41" w:rsidRPr="002C76AB" w:rsidRDefault="002C76AB" w:rsidP="002C76AB">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bookmarkStart w:id="92" w:name="_Toc5626472"/>
      <w:r w:rsidRPr="002C76AB">
        <w:rPr>
          <w:rFonts w:asciiTheme="majorHAnsi" w:eastAsiaTheme="majorEastAsia" w:hAnsiTheme="majorHAnsi" w:cstheme="majorHAnsi"/>
          <w:i/>
          <w:caps/>
          <w:color w:val="004B8D"/>
          <w:spacing w:val="0"/>
          <w:sz w:val="22"/>
          <w:lang w:bidi="ar-SA"/>
        </w:rPr>
        <w:t xml:space="preserve">5.2.1 </w:t>
      </w:r>
      <w:r w:rsidR="00E87C41" w:rsidRPr="002C76AB">
        <w:rPr>
          <w:rFonts w:asciiTheme="majorHAnsi" w:eastAsiaTheme="majorEastAsia" w:hAnsiTheme="majorHAnsi" w:cstheme="majorHAnsi"/>
          <w:i/>
          <w:caps/>
          <w:color w:val="004B8D"/>
          <w:spacing w:val="0"/>
          <w:sz w:val="22"/>
          <w:lang w:bidi="ar-SA"/>
        </w:rPr>
        <w:t>P</w:t>
      </w:r>
      <w:r w:rsidRPr="002C76AB">
        <w:rPr>
          <w:rFonts w:asciiTheme="majorHAnsi" w:eastAsiaTheme="majorEastAsia" w:hAnsiTheme="majorHAnsi" w:cstheme="majorHAnsi"/>
          <w:i/>
          <w:caps/>
          <w:color w:val="004B8D"/>
          <w:spacing w:val="0"/>
          <w:sz w:val="22"/>
          <w:lang w:bidi="ar-SA"/>
        </w:rPr>
        <w:t>lnění NRIS3 strategie ve vztahu k reálnému ekonomickému potenciálu regionu</w:t>
      </w:r>
      <w:bookmarkEnd w:id="92"/>
    </w:p>
    <w:p w14:paraId="26E2F526" w14:textId="77777777" w:rsidR="00426268" w:rsidRDefault="00E87C41" w:rsidP="003E4352">
      <w:pPr>
        <w:rPr>
          <w:lang w:bidi="ar-SA"/>
        </w:rPr>
      </w:pPr>
      <w:r>
        <w:rPr>
          <w:lang w:bidi="ar-SA"/>
        </w:rPr>
        <w:t xml:space="preserve">Pokud přijmeme tezi, že reálný podíl regionu na tvorbě hrubé přidané hodnoty (HPH) odpovídá </w:t>
      </w:r>
      <w:r w:rsidR="00426268">
        <w:rPr>
          <w:lang w:bidi="ar-SA"/>
        </w:rPr>
        <w:t xml:space="preserve">jeho ekonomickému </w:t>
      </w:r>
      <w:r>
        <w:rPr>
          <w:lang w:bidi="ar-SA"/>
        </w:rPr>
        <w:t xml:space="preserve">potenciálu, </w:t>
      </w:r>
      <w:r w:rsidR="00633C90">
        <w:rPr>
          <w:lang w:bidi="ar-SA"/>
        </w:rPr>
        <w:t>p</w:t>
      </w:r>
      <w:r>
        <w:rPr>
          <w:lang w:bidi="ar-SA"/>
        </w:rPr>
        <w:t xml:space="preserve">ak </w:t>
      </w:r>
      <w:r w:rsidR="00633C90">
        <w:rPr>
          <w:lang w:bidi="ar-SA"/>
        </w:rPr>
        <w:t xml:space="preserve">je </w:t>
      </w:r>
      <w:r w:rsidR="00426268">
        <w:rPr>
          <w:lang w:bidi="ar-SA"/>
        </w:rPr>
        <w:t xml:space="preserve">dominance Prahy jasně zřetelná a představovala by cca čtvrtinu </w:t>
      </w:r>
      <w:r w:rsidR="00633C90">
        <w:rPr>
          <w:lang w:bidi="ar-SA"/>
        </w:rPr>
        <w:t xml:space="preserve">potenciálu </w:t>
      </w:r>
      <w:r w:rsidR="00426268">
        <w:rPr>
          <w:lang w:bidi="ar-SA"/>
        </w:rPr>
        <w:t xml:space="preserve">celé ČR. </w:t>
      </w:r>
    </w:p>
    <w:p w14:paraId="6BE38200" w14:textId="77777777" w:rsidR="00F86AA8" w:rsidRDefault="002C76AB" w:rsidP="003E4352">
      <w:pPr>
        <w:rPr>
          <w:lang w:bidi="ar-SA"/>
        </w:rPr>
      </w:pPr>
      <w:bookmarkStart w:id="93" w:name="_Toc5626525"/>
      <w:r w:rsidRPr="00C64D59">
        <w:rPr>
          <w:rFonts w:cs="Arial-ItalicMT"/>
          <w:b/>
          <w:iCs/>
          <w:szCs w:val="22"/>
        </w:rPr>
        <w:t xml:space="preserve">Tabulka č. </w:t>
      </w:r>
      <w:r w:rsidR="008A090D" w:rsidRPr="00C64D59">
        <w:rPr>
          <w:rFonts w:cs="Arial-ItalicMT"/>
          <w:b/>
          <w:iCs/>
          <w:szCs w:val="22"/>
        </w:rPr>
        <w:fldChar w:fldCharType="begin"/>
      </w:r>
      <w:r w:rsidRPr="00C64D59">
        <w:rPr>
          <w:rFonts w:cs="Arial-ItalicMT"/>
          <w:b/>
          <w:iCs/>
          <w:szCs w:val="22"/>
        </w:rPr>
        <w:instrText xml:space="preserve"> SEQ Tabulka_č._ \* ARABIC </w:instrText>
      </w:r>
      <w:r w:rsidR="008A090D" w:rsidRPr="00C64D59">
        <w:rPr>
          <w:rFonts w:cs="Arial-ItalicMT"/>
          <w:b/>
          <w:iCs/>
          <w:szCs w:val="22"/>
        </w:rPr>
        <w:fldChar w:fldCharType="separate"/>
      </w:r>
      <w:r w:rsidR="002309D5">
        <w:rPr>
          <w:rFonts w:cs="Arial-ItalicMT"/>
          <w:b/>
          <w:iCs/>
          <w:noProof/>
          <w:szCs w:val="22"/>
        </w:rPr>
        <w:t>16</w:t>
      </w:r>
      <w:r w:rsidR="008A090D" w:rsidRPr="00C64D59">
        <w:rPr>
          <w:rFonts w:cs="Arial-ItalicMT"/>
          <w:b/>
          <w:iCs/>
          <w:szCs w:val="22"/>
        </w:rPr>
        <w:fldChar w:fldCharType="end"/>
      </w:r>
      <w:r w:rsidRPr="00C64D59">
        <w:rPr>
          <w:rFonts w:cs="Arial-ItalicMT"/>
          <w:b/>
          <w:iCs/>
          <w:szCs w:val="22"/>
        </w:rPr>
        <w:t xml:space="preserve"> </w:t>
      </w:r>
      <w:r>
        <w:rPr>
          <w:rFonts w:cs="Arial-ItalicMT"/>
          <w:b/>
          <w:iCs/>
          <w:szCs w:val="22"/>
        </w:rPr>
        <w:t>–</w:t>
      </w:r>
      <w:r w:rsidRPr="00D66402">
        <w:rPr>
          <w:rFonts w:cs="Arial-ItalicMT"/>
          <w:iCs/>
          <w:szCs w:val="22"/>
        </w:rPr>
        <w:t xml:space="preserve"> </w:t>
      </w:r>
      <w:r>
        <w:rPr>
          <w:i/>
        </w:rPr>
        <w:t>Tvorba hrubé přidané hodnoty v nejvýkonnějších regionech ČR</w:t>
      </w:r>
      <w:bookmarkEnd w:id="93"/>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1985"/>
        <w:gridCol w:w="1872"/>
      </w:tblGrid>
      <w:tr w:rsidR="00F86AA8" w:rsidRPr="00426268" w14:paraId="74990E01" w14:textId="77777777" w:rsidTr="004262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shd w:val="clear" w:color="auto" w:fill="4F81BD" w:themeFill="accent1"/>
          </w:tcPr>
          <w:p w14:paraId="11FF39FB" w14:textId="77777777" w:rsidR="00F86AA8" w:rsidRPr="00426268" w:rsidRDefault="00F86AA8" w:rsidP="003E4711">
            <w:pPr>
              <w:spacing w:before="120" w:after="120" w:line="240" w:lineRule="auto"/>
              <w:jc w:val="center"/>
              <w:rPr>
                <w:rFonts w:asciiTheme="majorHAnsi" w:hAnsiTheme="majorHAnsi" w:cstheme="majorHAnsi"/>
                <w:b/>
                <w:color w:val="FFFFFF" w:themeColor="background1"/>
                <w:sz w:val="20"/>
                <w:lang w:bidi="ar-SA"/>
              </w:rPr>
            </w:pPr>
            <w:r w:rsidRPr="00426268">
              <w:rPr>
                <w:rFonts w:asciiTheme="majorHAnsi" w:hAnsiTheme="majorHAnsi" w:cstheme="majorHAnsi"/>
                <w:b/>
                <w:color w:val="FFFFFF" w:themeColor="background1"/>
                <w:sz w:val="20"/>
                <w:lang w:bidi="ar-SA"/>
              </w:rPr>
              <w:t>region</w:t>
            </w:r>
          </w:p>
        </w:tc>
        <w:tc>
          <w:tcPr>
            <w:tcW w:w="1985" w:type="dxa"/>
            <w:shd w:val="clear" w:color="auto" w:fill="4F81BD" w:themeFill="accent1"/>
          </w:tcPr>
          <w:p w14:paraId="07600EF4" w14:textId="77777777" w:rsidR="00F86AA8" w:rsidRPr="00426268" w:rsidRDefault="00F86AA8" w:rsidP="003E4711">
            <w:pPr>
              <w:spacing w:before="120" w:after="12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color w:val="FFFFFF" w:themeColor="background1"/>
                <w:sz w:val="20"/>
                <w:lang w:bidi="ar-SA"/>
              </w:rPr>
            </w:pPr>
            <w:r w:rsidRPr="00426268">
              <w:rPr>
                <w:rFonts w:asciiTheme="majorHAnsi" w:hAnsiTheme="majorHAnsi" w:cstheme="majorHAnsi"/>
                <w:b/>
                <w:color w:val="FFFFFF" w:themeColor="background1"/>
                <w:sz w:val="20"/>
                <w:lang w:bidi="ar-SA"/>
              </w:rPr>
              <w:t>HPH v mld. Kč</w:t>
            </w:r>
          </w:p>
        </w:tc>
        <w:tc>
          <w:tcPr>
            <w:tcW w:w="1872" w:type="dxa"/>
            <w:shd w:val="clear" w:color="auto" w:fill="4F81BD" w:themeFill="accent1"/>
          </w:tcPr>
          <w:p w14:paraId="0B2A6609" w14:textId="77777777" w:rsidR="00F86AA8" w:rsidRPr="00426268" w:rsidRDefault="00F86AA8" w:rsidP="003E4711">
            <w:pPr>
              <w:spacing w:before="120" w:after="12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color w:val="FFFFFF" w:themeColor="background1"/>
                <w:sz w:val="20"/>
                <w:lang w:bidi="ar-SA"/>
              </w:rPr>
            </w:pPr>
            <w:r w:rsidRPr="00426268">
              <w:rPr>
                <w:rFonts w:asciiTheme="majorHAnsi" w:hAnsiTheme="majorHAnsi" w:cstheme="majorHAnsi"/>
                <w:b/>
                <w:color w:val="FFFFFF" w:themeColor="background1"/>
                <w:sz w:val="20"/>
                <w:lang w:bidi="ar-SA"/>
              </w:rPr>
              <w:t>podíl v %</w:t>
            </w:r>
          </w:p>
        </w:tc>
      </w:tr>
      <w:tr w:rsidR="00F86AA8" w:rsidRPr="003E4711" w14:paraId="23A6F8E7" w14:textId="77777777" w:rsidTr="003E4711">
        <w:tc>
          <w:tcPr>
            <w:cnfStyle w:val="001000000000" w:firstRow="0" w:lastRow="0" w:firstColumn="1" w:lastColumn="0" w:oddVBand="0" w:evenVBand="0" w:oddHBand="0" w:evenHBand="0" w:firstRowFirstColumn="0" w:firstRowLastColumn="0" w:lastRowFirstColumn="0" w:lastRowLastColumn="0"/>
            <w:tcW w:w="4786" w:type="dxa"/>
            <w:vAlign w:val="top"/>
          </w:tcPr>
          <w:p w14:paraId="2EBB390C" w14:textId="77777777" w:rsidR="00F86AA8" w:rsidRPr="003E4711" w:rsidRDefault="00F86AA8" w:rsidP="00F86AA8">
            <w:pPr>
              <w:spacing w:before="0" w:after="0" w:line="240" w:lineRule="auto"/>
            </w:pPr>
            <w:r w:rsidRPr="003E4711">
              <w:t>Hlavní město Praha</w:t>
            </w:r>
          </w:p>
        </w:tc>
        <w:tc>
          <w:tcPr>
            <w:tcW w:w="1985" w:type="dxa"/>
            <w:vAlign w:val="top"/>
          </w:tcPr>
          <w:p w14:paraId="5F883E6D" w14:textId="77777777" w:rsidR="00F86AA8" w:rsidRPr="003E4711" w:rsidRDefault="00F86AA8" w:rsidP="00F86AA8">
            <w:pPr>
              <w:spacing w:before="0" w:after="0" w:line="240" w:lineRule="auto"/>
              <w:jc w:val="right"/>
              <w:cnfStyle w:val="000000000000" w:firstRow="0" w:lastRow="0" w:firstColumn="0" w:lastColumn="0" w:oddVBand="0" w:evenVBand="0" w:oddHBand="0" w:evenHBand="0" w:firstRowFirstColumn="0" w:firstRowLastColumn="0" w:lastRowFirstColumn="0" w:lastRowLastColumn="0"/>
            </w:pPr>
            <w:r w:rsidRPr="003E4711">
              <w:t>1151,7</w:t>
            </w:r>
          </w:p>
        </w:tc>
        <w:tc>
          <w:tcPr>
            <w:tcW w:w="1872" w:type="dxa"/>
            <w:vAlign w:val="top"/>
          </w:tcPr>
          <w:p w14:paraId="08CFB6DD" w14:textId="77777777" w:rsidR="00F86AA8" w:rsidRPr="003E4711" w:rsidRDefault="00F86AA8" w:rsidP="00F86AA8">
            <w:pPr>
              <w:spacing w:before="0" w:after="0" w:line="240" w:lineRule="auto"/>
              <w:jc w:val="right"/>
              <w:cnfStyle w:val="000000000000" w:firstRow="0" w:lastRow="0" w:firstColumn="0" w:lastColumn="0" w:oddVBand="0" w:evenVBand="0" w:oddHBand="0" w:evenHBand="0" w:firstRowFirstColumn="0" w:firstRowLastColumn="0" w:lastRowFirstColumn="0" w:lastRowLastColumn="0"/>
            </w:pPr>
            <w:r w:rsidRPr="003E4711">
              <w:t>25,4%</w:t>
            </w:r>
          </w:p>
        </w:tc>
      </w:tr>
      <w:tr w:rsidR="00F86AA8" w:rsidRPr="003E4711" w14:paraId="309C24EA" w14:textId="77777777" w:rsidTr="003E4711">
        <w:tc>
          <w:tcPr>
            <w:cnfStyle w:val="001000000000" w:firstRow="0" w:lastRow="0" w:firstColumn="1" w:lastColumn="0" w:oddVBand="0" w:evenVBand="0" w:oddHBand="0" w:evenHBand="0" w:firstRowFirstColumn="0" w:firstRowLastColumn="0" w:lastRowFirstColumn="0" w:lastRowLastColumn="0"/>
            <w:tcW w:w="4786" w:type="dxa"/>
            <w:vAlign w:val="top"/>
          </w:tcPr>
          <w:p w14:paraId="57A78DBC" w14:textId="77777777" w:rsidR="00F86AA8" w:rsidRPr="003E4711" w:rsidRDefault="00F86AA8" w:rsidP="00F86AA8">
            <w:pPr>
              <w:spacing w:before="0" w:after="0" w:line="240" w:lineRule="auto"/>
            </w:pPr>
            <w:r w:rsidRPr="003E4711">
              <w:t>Středočeský kraj</w:t>
            </w:r>
          </w:p>
        </w:tc>
        <w:tc>
          <w:tcPr>
            <w:tcW w:w="1985" w:type="dxa"/>
            <w:vAlign w:val="top"/>
          </w:tcPr>
          <w:p w14:paraId="51F53AA4" w14:textId="77777777" w:rsidR="00F86AA8" w:rsidRPr="003E4711" w:rsidRDefault="00F86AA8" w:rsidP="00F86AA8">
            <w:pPr>
              <w:spacing w:before="0" w:after="0" w:line="240" w:lineRule="auto"/>
              <w:jc w:val="right"/>
              <w:cnfStyle w:val="000000000000" w:firstRow="0" w:lastRow="0" w:firstColumn="0" w:lastColumn="0" w:oddVBand="0" w:evenVBand="0" w:oddHBand="0" w:evenHBand="0" w:firstRowFirstColumn="0" w:firstRowLastColumn="0" w:lastRowFirstColumn="0" w:lastRowLastColumn="0"/>
            </w:pPr>
            <w:r w:rsidRPr="003E4711">
              <w:t>538,2</w:t>
            </w:r>
          </w:p>
        </w:tc>
        <w:tc>
          <w:tcPr>
            <w:tcW w:w="1872" w:type="dxa"/>
            <w:vAlign w:val="top"/>
          </w:tcPr>
          <w:p w14:paraId="47D77B25" w14:textId="77777777" w:rsidR="00F86AA8" w:rsidRPr="003E4711" w:rsidRDefault="00F86AA8" w:rsidP="00F86AA8">
            <w:pPr>
              <w:spacing w:before="0" w:after="0" w:line="240" w:lineRule="auto"/>
              <w:jc w:val="right"/>
              <w:cnfStyle w:val="000000000000" w:firstRow="0" w:lastRow="0" w:firstColumn="0" w:lastColumn="0" w:oddVBand="0" w:evenVBand="0" w:oddHBand="0" w:evenHBand="0" w:firstRowFirstColumn="0" w:firstRowLastColumn="0" w:lastRowFirstColumn="0" w:lastRowLastColumn="0"/>
            </w:pPr>
            <w:r w:rsidRPr="003E4711">
              <w:t>11,9%</w:t>
            </w:r>
          </w:p>
        </w:tc>
      </w:tr>
      <w:tr w:rsidR="00F86AA8" w:rsidRPr="003E4711" w14:paraId="48677944" w14:textId="77777777" w:rsidTr="003E4711">
        <w:tc>
          <w:tcPr>
            <w:cnfStyle w:val="001000000000" w:firstRow="0" w:lastRow="0" w:firstColumn="1" w:lastColumn="0" w:oddVBand="0" w:evenVBand="0" w:oddHBand="0" w:evenHBand="0" w:firstRowFirstColumn="0" w:firstRowLastColumn="0" w:lastRowFirstColumn="0" w:lastRowLastColumn="0"/>
            <w:tcW w:w="4786" w:type="dxa"/>
            <w:vAlign w:val="top"/>
          </w:tcPr>
          <w:p w14:paraId="7141031D" w14:textId="77777777" w:rsidR="00F86AA8" w:rsidRPr="003E4711" w:rsidRDefault="00F86AA8" w:rsidP="00F86AA8">
            <w:pPr>
              <w:spacing w:before="0" w:after="0" w:line="240" w:lineRule="auto"/>
            </w:pPr>
            <w:r w:rsidRPr="003E4711">
              <w:t>Jihomoravský kraj</w:t>
            </w:r>
          </w:p>
        </w:tc>
        <w:tc>
          <w:tcPr>
            <w:tcW w:w="1985" w:type="dxa"/>
            <w:vAlign w:val="top"/>
          </w:tcPr>
          <w:p w14:paraId="66217521" w14:textId="77777777" w:rsidR="00F86AA8" w:rsidRPr="003E4711" w:rsidRDefault="00F86AA8" w:rsidP="00F86AA8">
            <w:pPr>
              <w:spacing w:before="0" w:after="0" w:line="240" w:lineRule="auto"/>
              <w:jc w:val="right"/>
              <w:cnfStyle w:val="000000000000" w:firstRow="0" w:lastRow="0" w:firstColumn="0" w:lastColumn="0" w:oddVBand="0" w:evenVBand="0" w:oddHBand="0" w:evenHBand="0" w:firstRowFirstColumn="0" w:firstRowLastColumn="0" w:lastRowFirstColumn="0" w:lastRowLastColumn="0"/>
            </w:pPr>
            <w:r w:rsidRPr="003E4711">
              <w:t>476,8</w:t>
            </w:r>
          </w:p>
        </w:tc>
        <w:tc>
          <w:tcPr>
            <w:tcW w:w="1872" w:type="dxa"/>
            <w:vAlign w:val="top"/>
          </w:tcPr>
          <w:p w14:paraId="2C976E19" w14:textId="77777777" w:rsidR="00F86AA8" w:rsidRPr="003E4711" w:rsidRDefault="00F86AA8" w:rsidP="00F86AA8">
            <w:pPr>
              <w:spacing w:before="0" w:after="0" w:line="240" w:lineRule="auto"/>
              <w:jc w:val="right"/>
              <w:cnfStyle w:val="000000000000" w:firstRow="0" w:lastRow="0" w:firstColumn="0" w:lastColumn="0" w:oddVBand="0" w:evenVBand="0" w:oddHBand="0" w:evenHBand="0" w:firstRowFirstColumn="0" w:firstRowLastColumn="0" w:lastRowFirstColumn="0" w:lastRowLastColumn="0"/>
            </w:pPr>
            <w:r w:rsidRPr="003E4711">
              <w:t>10,5%</w:t>
            </w:r>
          </w:p>
        </w:tc>
      </w:tr>
      <w:tr w:rsidR="00F86AA8" w:rsidRPr="003E4711" w14:paraId="5F4DCFBA" w14:textId="77777777" w:rsidTr="003E4711">
        <w:tc>
          <w:tcPr>
            <w:cnfStyle w:val="001000000000" w:firstRow="0" w:lastRow="0" w:firstColumn="1" w:lastColumn="0" w:oddVBand="0" w:evenVBand="0" w:oddHBand="0" w:evenHBand="0" w:firstRowFirstColumn="0" w:firstRowLastColumn="0" w:lastRowFirstColumn="0" w:lastRowLastColumn="0"/>
            <w:tcW w:w="4786" w:type="dxa"/>
            <w:vAlign w:val="top"/>
          </w:tcPr>
          <w:p w14:paraId="44A40AC8" w14:textId="77777777" w:rsidR="00F86AA8" w:rsidRPr="003E4711" w:rsidRDefault="00F86AA8" w:rsidP="00F86AA8">
            <w:pPr>
              <w:spacing w:before="0" w:after="0" w:line="240" w:lineRule="auto"/>
            </w:pPr>
            <w:r w:rsidRPr="003E4711">
              <w:t>Moravskoslezský kraj</w:t>
            </w:r>
          </w:p>
        </w:tc>
        <w:tc>
          <w:tcPr>
            <w:tcW w:w="1985" w:type="dxa"/>
            <w:vAlign w:val="top"/>
          </w:tcPr>
          <w:p w14:paraId="643E75C4" w14:textId="77777777" w:rsidR="00F86AA8" w:rsidRPr="003E4711" w:rsidRDefault="00F86AA8" w:rsidP="00F86AA8">
            <w:pPr>
              <w:spacing w:before="0" w:after="0" w:line="240" w:lineRule="auto"/>
              <w:jc w:val="right"/>
              <w:cnfStyle w:val="000000000000" w:firstRow="0" w:lastRow="0" w:firstColumn="0" w:lastColumn="0" w:oddVBand="0" w:evenVBand="0" w:oddHBand="0" w:evenHBand="0" w:firstRowFirstColumn="0" w:firstRowLastColumn="0" w:lastRowFirstColumn="0" w:lastRowLastColumn="0"/>
            </w:pPr>
            <w:r w:rsidRPr="003E4711">
              <w:t>425,6</w:t>
            </w:r>
          </w:p>
        </w:tc>
        <w:tc>
          <w:tcPr>
            <w:tcW w:w="1872" w:type="dxa"/>
            <w:vAlign w:val="top"/>
          </w:tcPr>
          <w:p w14:paraId="4B38DB9C" w14:textId="77777777" w:rsidR="00F86AA8" w:rsidRPr="003E4711" w:rsidRDefault="00F86AA8" w:rsidP="00F86AA8">
            <w:pPr>
              <w:spacing w:before="0" w:after="0" w:line="240" w:lineRule="auto"/>
              <w:jc w:val="right"/>
              <w:cnfStyle w:val="000000000000" w:firstRow="0" w:lastRow="0" w:firstColumn="0" w:lastColumn="0" w:oddVBand="0" w:evenVBand="0" w:oddHBand="0" w:evenHBand="0" w:firstRowFirstColumn="0" w:firstRowLastColumn="0" w:lastRowFirstColumn="0" w:lastRowLastColumn="0"/>
            </w:pPr>
            <w:r w:rsidRPr="003E4711">
              <w:t>9,4%</w:t>
            </w:r>
          </w:p>
        </w:tc>
      </w:tr>
    </w:tbl>
    <w:p w14:paraId="47270D87" w14:textId="77777777" w:rsidR="00426268" w:rsidRDefault="00426268" w:rsidP="00426268">
      <w:pPr>
        <w:spacing w:before="0" w:after="0" w:line="240" w:lineRule="auto"/>
        <w:rPr>
          <w:lang w:bidi="ar-SA"/>
        </w:rPr>
      </w:pPr>
      <w:r w:rsidRPr="00F40DC7">
        <w:rPr>
          <w:rFonts w:asciiTheme="majorHAnsi" w:hAnsiTheme="majorHAnsi" w:cstheme="majorHAnsi"/>
          <w:sz w:val="18"/>
          <w:szCs w:val="18"/>
          <w:lang w:bidi="ar-SA"/>
        </w:rPr>
        <w:t xml:space="preserve">Zdroj: </w:t>
      </w:r>
      <w:r>
        <w:rPr>
          <w:rFonts w:asciiTheme="majorHAnsi" w:hAnsiTheme="majorHAnsi" w:cstheme="majorHAnsi"/>
          <w:sz w:val="18"/>
          <w:szCs w:val="18"/>
          <w:lang w:bidi="ar-SA"/>
        </w:rPr>
        <w:t>ČSÚ, národní účty 2017</w:t>
      </w:r>
    </w:p>
    <w:p w14:paraId="403ED0A8" w14:textId="77777777" w:rsidR="00F86AA8" w:rsidRDefault="002C76AB" w:rsidP="003E4352">
      <w:pPr>
        <w:rPr>
          <w:lang w:bidi="ar-SA"/>
        </w:rPr>
      </w:pPr>
      <w:r>
        <w:rPr>
          <w:lang w:bidi="ar-SA"/>
        </w:rPr>
        <w:lastRenderedPageBreak/>
        <w:t xml:space="preserve">Pokud ovšem </w:t>
      </w:r>
      <w:r w:rsidR="00E20EF5">
        <w:rPr>
          <w:lang w:bidi="ar-SA"/>
        </w:rPr>
        <w:t>zohledníme</w:t>
      </w:r>
      <w:r w:rsidR="006E003D">
        <w:rPr>
          <w:lang w:bidi="ar-SA"/>
        </w:rPr>
        <w:t xml:space="preserve"> pouze produkc</w:t>
      </w:r>
      <w:r>
        <w:rPr>
          <w:lang w:bidi="ar-SA"/>
        </w:rPr>
        <w:t xml:space="preserve">i v </w:t>
      </w:r>
      <w:r w:rsidR="006E003D">
        <w:rPr>
          <w:lang w:bidi="ar-SA"/>
        </w:rPr>
        <w:t>aplikačních odvětvích</w:t>
      </w:r>
      <w:r>
        <w:rPr>
          <w:lang w:bidi="ar-SA"/>
        </w:rPr>
        <w:t>, s nimiž je spojována podpora v Národní RIS3 strategii, tak</w:t>
      </w:r>
      <w:r w:rsidR="006E003D">
        <w:rPr>
          <w:lang w:bidi="ar-SA"/>
        </w:rPr>
        <w:t xml:space="preserve"> se podíly i pořadí čtyř nejvýkonnějších regionů ČR </w:t>
      </w:r>
      <w:r>
        <w:rPr>
          <w:lang w:bidi="ar-SA"/>
        </w:rPr>
        <w:t xml:space="preserve">na tvorbě hrubé přidané hodnoty </w:t>
      </w:r>
      <w:r w:rsidR="006E003D">
        <w:rPr>
          <w:lang w:bidi="ar-SA"/>
        </w:rPr>
        <w:t>změní. Dominance Prahy již není tak výrazná a je porovnatelná s potenciálem dalších regionů ČR.</w:t>
      </w:r>
    </w:p>
    <w:p w14:paraId="44D783FD" w14:textId="77777777" w:rsidR="002C76AB" w:rsidRDefault="002C76AB" w:rsidP="002C76AB">
      <w:pPr>
        <w:rPr>
          <w:lang w:bidi="ar-SA"/>
        </w:rPr>
      </w:pPr>
      <w:bookmarkStart w:id="94" w:name="_Toc5626526"/>
      <w:r w:rsidRPr="00C64D59">
        <w:rPr>
          <w:rFonts w:cs="Arial-ItalicMT"/>
          <w:b/>
          <w:iCs/>
          <w:szCs w:val="22"/>
        </w:rPr>
        <w:t xml:space="preserve">Tabulka č. </w:t>
      </w:r>
      <w:r w:rsidR="008A090D" w:rsidRPr="00C64D59">
        <w:rPr>
          <w:rFonts w:cs="Arial-ItalicMT"/>
          <w:b/>
          <w:iCs/>
          <w:szCs w:val="22"/>
        </w:rPr>
        <w:fldChar w:fldCharType="begin"/>
      </w:r>
      <w:r w:rsidRPr="00C64D59">
        <w:rPr>
          <w:rFonts w:cs="Arial-ItalicMT"/>
          <w:b/>
          <w:iCs/>
          <w:szCs w:val="22"/>
        </w:rPr>
        <w:instrText xml:space="preserve"> SEQ Tabulka_č._ \* ARABIC </w:instrText>
      </w:r>
      <w:r w:rsidR="008A090D" w:rsidRPr="00C64D59">
        <w:rPr>
          <w:rFonts w:cs="Arial-ItalicMT"/>
          <w:b/>
          <w:iCs/>
          <w:szCs w:val="22"/>
        </w:rPr>
        <w:fldChar w:fldCharType="separate"/>
      </w:r>
      <w:r w:rsidR="002309D5">
        <w:rPr>
          <w:rFonts w:cs="Arial-ItalicMT"/>
          <w:b/>
          <w:iCs/>
          <w:noProof/>
          <w:szCs w:val="22"/>
        </w:rPr>
        <w:t>17</w:t>
      </w:r>
      <w:r w:rsidR="008A090D" w:rsidRPr="00C64D59">
        <w:rPr>
          <w:rFonts w:cs="Arial-ItalicMT"/>
          <w:b/>
          <w:iCs/>
          <w:szCs w:val="22"/>
        </w:rPr>
        <w:fldChar w:fldCharType="end"/>
      </w:r>
      <w:r w:rsidRPr="00C64D59">
        <w:rPr>
          <w:rFonts w:cs="Arial-ItalicMT"/>
          <w:b/>
          <w:iCs/>
          <w:szCs w:val="22"/>
        </w:rPr>
        <w:t xml:space="preserve"> </w:t>
      </w:r>
      <w:r>
        <w:rPr>
          <w:rFonts w:cs="Arial-ItalicMT"/>
          <w:b/>
          <w:iCs/>
          <w:szCs w:val="22"/>
        </w:rPr>
        <w:t>–</w:t>
      </w:r>
      <w:r w:rsidRPr="00D66402">
        <w:rPr>
          <w:rFonts w:cs="Arial-ItalicMT"/>
          <w:iCs/>
          <w:szCs w:val="22"/>
        </w:rPr>
        <w:t xml:space="preserve"> </w:t>
      </w:r>
      <w:r>
        <w:rPr>
          <w:i/>
        </w:rPr>
        <w:t>Tvorba hrubé přidané hodnoty nejvýkonnějších regionů ČR v aplikačních odvětvích NRIS3</w:t>
      </w:r>
      <w:bookmarkEnd w:id="94"/>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1985"/>
        <w:gridCol w:w="1872"/>
      </w:tblGrid>
      <w:tr w:rsidR="006E003D" w:rsidRPr="00426268" w14:paraId="3F1632C5" w14:textId="77777777" w:rsidTr="004262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shd w:val="clear" w:color="auto" w:fill="4F81BD" w:themeFill="accent1"/>
          </w:tcPr>
          <w:p w14:paraId="1AEF5B47" w14:textId="77777777" w:rsidR="006E003D" w:rsidRPr="00426268" w:rsidRDefault="006E003D" w:rsidP="003E4711">
            <w:pPr>
              <w:spacing w:before="120" w:after="120" w:line="240" w:lineRule="auto"/>
              <w:jc w:val="center"/>
              <w:rPr>
                <w:rFonts w:asciiTheme="majorHAnsi" w:hAnsiTheme="majorHAnsi" w:cstheme="majorHAnsi"/>
                <w:b/>
                <w:color w:val="FFFFFF" w:themeColor="background1"/>
                <w:sz w:val="20"/>
                <w:lang w:bidi="ar-SA"/>
              </w:rPr>
            </w:pPr>
            <w:r w:rsidRPr="00426268">
              <w:rPr>
                <w:rFonts w:asciiTheme="majorHAnsi" w:hAnsiTheme="majorHAnsi" w:cstheme="majorHAnsi"/>
                <w:b/>
                <w:color w:val="FFFFFF" w:themeColor="background1"/>
                <w:sz w:val="20"/>
                <w:lang w:bidi="ar-SA"/>
              </w:rPr>
              <w:t>region</w:t>
            </w:r>
          </w:p>
        </w:tc>
        <w:tc>
          <w:tcPr>
            <w:tcW w:w="1985" w:type="dxa"/>
            <w:shd w:val="clear" w:color="auto" w:fill="4F81BD" w:themeFill="accent1"/>
          </w:tcPr>
          <w:p w14:paraId="6B8D6884" w14:textId="77777777" w:rsidR="006E003D" w:rsidRPr="00426268" w:rsidRDefault="006E003D" w:rsidP="003E4711">
            <w:pPr>
              <w:spacing w:before="120" w:after="12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color w:val="FFFFFF" w:themeColor="background1"/>
                <w:sz w:val="20"/>
                <w:lang w:bidi="ar-SA"/>
              </w:rPr>
            </w:pPr>
            <w:r w:rsidRPr="00426268">
              <w:rPr>
                <w:rFonts w:asciiTheme="majorHAnsi" w:hAnsiTheme="majorHAnsi" w:cstheme="majorHAnsi"/>
                <w:b/>
                <w:color w:val="FFFFFF" w:themeColor="background1"/>
                <w:sz w:val="20"/>
                <w:lang w:bidi="ar-SA"/>
              </w:rPr>
              <w:t>HPH v mld. Kč</w:t>
            </w:r>
          </w:p>
        </w:tc>
        <w:tc>
          <w:tcPr>
            <w:tcW w:w="1872" w:type="dxa"/>
            <w:shd w:val="clear" w:color="auto" w:fill="4F81BD" w:themeFill="accent1"/>
          </w:tcPr>
          <w:p w14:paraId="2AEF72DC" w14:textId="77777777" w:rsidR="006E003D" w:rsidRPr="00426268" w:rsidRDefault="006E003D" w:rsidP="003E4711">
            <w:pPr>
              <w:spacing w:before="120" w:after="12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color w:val="FFFFFF" w:themeColor="background1"/>
                <w:sz w:val="20"/>
                <w:lang w:bidi="ar-SA"/>
              </w:rPr>
            </w:pPr>
            <w:r w:rsidRPr="00426268">
              <w:rPr>
                <w:rFonts w:asciiTheme="majorHAnsi" w:hAnsiTheme="majorHAnsi" w:cstheme="majorHAnsi"/>
                <w:b/>
                <w:color w:val="FFFFFF" w:themeColor="background1"/>
                <w:sz w:val="20"/>
                <w:lang w:bidi="ar-SA"/>
              </w:rPr>
              <w:t>podíl v %</w:t>
            </w:r>
          </w:p>
        </w:tc>
      </w:tr>
      <w:tr w:rsidR="006E003D" w:rsidRPr="003E4711" w14:paraId="1A01999F" w14:textId="77777777" w:rsidTr="003E4711">
        <w:tc>
          <w:tcPr>
            <w:cnfStyle w:val="001000000000" w:firstRow="0" w:lastRow="0" w:firstColumn="1" w:lastColumn="0" w:oddVBand="0" w:evenVBand="0" w:oddHBand="0" w:evenHBand="0" w:firstRowFirstColumn="0" w:firstRowLastColumn="0" w:lastRowFirstColumn="0" w:lastRowLastColumn="0"/>
            <w:tcW w:w="4786" w:type="dxa"/>
            <w:vAlign w:val="top"/>
          </w:tcPr>
          <w:p w14:paraId="51A68908" w14:textId="77777777" w:rsidR="006E003D" w:rsidRPr="003E4711" w:rsidRDefault="006E003D" w:rsidP="006E003D">
            <w:pPr>
              <w:spacing w:before="0" w:after="0" w:line="240" w:lineRule="auto"/>
            </w:pPr>
            <w:r w:rsidRPr="003E4711">
              <w:t>Hlavní město Praha</w:t>
            </w:r>
          </w:p>
        </w:tc>
        <w:tc>
          <w:tcPr>
            <w:tcW w:w="1985" w:type="dxa"/>
            <w:vAlign w:val="top"/>
          </w:tcPr>
          <w:p w14:paraId="7CE3CD19" w14:textId="77777777" w:rsidR="006E003D" w:rsidRPr="003E4711" w:rsidRDefault="006E003D" w:rsidP="006E003D">
            <w:pPr>
              <w:spacing w:before="0" w:after="0" w:line="240" w:lineRule="auto"/>
              <w:jc w:val="right"/>
              <w:cnfStyle w:val="000000000000" w:firstRow="0" w:lastRow="0" w:firstColumn="0" w:lastColumn="0" w:oddVBand="0" w:evenVBand="0" w:oddHBand="0" w:evenHBand="0" w:firstRowFirstColumn="0" w:firstRowLastColumn="0" w:lastRowFirstColumn="0" w:lastRowLastColumn="0"/>
            </w:pPr>
            <w:r w:rsidRPr="003E4711">
              <w:t>271,5</w:t>
            </w:r>
          </w:p>
        </w:tc>
        <w:tc>
          <w:tcPr>
            <w:tcW w:w="1872" w:type="dxa"/>
            <w:vAlign w:val="top"/>
          </w:tcPr>
          <w:p w14:paraId="4A402614" w14:textId="77777777" w:rsidR="006E003D" w:rsidRPr="003E4711" w:rsidRDefault="006E003D" w:rsidP="006E003D">
            <w:pPr>
              <w:spacing w:before="0" w:after="0" w:line="240" w:lineRule="auto"/>
              <w:jc w:val="right"/>
              <w:cnfStyle w:val="000000000000" w:firstRow="0" w:lastRow="0" w:firstColumn="0" w:lastColumn="0" w:oddVBand="0" w:evenVBand="0" w:oddHBand="0" w:evenHBand="0" w:firstRowFirstColumn="0" w:firstRowLastColumn="0" w:lastRowFirstColumn="0" w:lastRowLastColumn="0"/>
            </w:pPr>
            <w:r w:rsidRPr="003E4711">
              <w:t>15,3%</w:t>
            </w:r>
          </w:p>
        </w:tc>
      </w:tr>
      <w:tr w:rsidR="006E003D" w:rsidRPr="003E4711" w14:paraId="55B22A52" w14:textId="77777777" w:rsidTr="003E4711">
        <w:tc>
          <w:tcPr>
            <w:cnfStyle w:val="001000000000" w:firstRow="0" w:lastRow="0" w:firstColumn="1" w:lastColumn="0" w:oddVBand="0" w:evenVBand="0" w:oddHBand="0" w:evenHBand="0" w:firstRowFirstColumn="0" w:firstRowLastColumn="0" w:lastRowFirstColumn="0" w:lastRowLastColumn="0"/>
            <w:tcW w:w="4786" w:type="dxa"/>
            <w:vAlign w:val="top"/>
          </w:tcPr>
          <w:p w14:paraId="4A6F1FC2" w14:textId="77777777" w:rsidR="006E003D" w:rsidRPr="003E4711" w:rsidRDefault="006E003D" w:rsidP="006E003D">
            <w:pPr>
              <w:spacing w:before="0" w:after="0" w:line="240" w:lineRule="auto"/>
            </w:pPr>
            <w:r w:rsidRPr="003E4711">
              <w:t>Středočeský kraj</w:t>
            </w:r>
          </w:p>
        </w:tc>
        <w:tc>
          <w:tcPr>
            <w:tcW w:w="1985" w:type="dxa"/>
            <w:vAlign w:val="top"/>
          </w:tcPr>
          <w:p w14:paraId="24223BC1" w14:textId="77777777" w:rsidR="006E003D" w:rsidRPr="003E4711" w:rsidRDefault="006E003D" w:rsidP="006E003D">
            <w:pPr>
              <w:spacing w:before="0" w:after="0" w:line="240" w:lineRule="auto"/>
              <w:jc w:val="right"/>
              <w:cnfStyle w:val="000000000000" w:firstRow="0" w:lastRow="0" w:firstColumn="0" w:lastColumn="0" w:oddVBand="0" w:evenVBand="0" w:oddHBand="0" w:evenHBand="0" w:firstRowFirstColumn="0" w:firstRowLastColumn="0" w:lastRowFirstColumn="0" w:lastRowLastColumn="0"/>
            </w:pPr>
            <w:r w:rsidRPr="003E4711">
              <w:t>254,5</w:t>
            </w:r>
          </w:p>
        </w:tc>
        <w:tc>
          <w:tcPr>
            <w:tcW w:w="1872" w:type="dxa"/>
            <w:vAlign w:val="top"/>
          </w:tcPr>
          <w:p w14:paraId="505B32A1" w14:textId="77777777" w:rsidR="006E003D" w:rsidRPr="003E4711" w:rsidRDefault="006E003D" w:rsidP="006E003D">
            <w:pPr>
              <w:spacing w:before="0" w:after="0" w:line="240" w:lineRule="auto"/>
              <w:jc w:val="right"/>
              <w:cnfStyle w:val="000000000000" w:firstRow="0" w:lastRow="0" w:firstColumn="0" w:lastColumn="0" w:oddVBand="0" w:evenVBand="0" w:oddHBand="0" w:evenHBand="0" w:firstRowFirstColumn="0" w:firstRowLastColumn="0" w:lastRowFirstColumn="0" w:lastRowLastColumn="0"/>
            </w:pPr>
            <w:r w:rsidRPr="003E4711">
              <w:t>14,3%</w:t>
            </w:r>
          </w:p>
        </w:tc>
      </w:tr>
      <w:tr w:rsidR="006E003D" w:rsidRPr="003E4711" w14:paraId="6A2510CB" w14:textId="77777777" w:rsidTr="003E4711">
        <w:tc>
          <w:tcPr>
            <w:cnfStyle w:val="001000000000" w:firstRow="0" w:lastRow="0" w:firstColumn="1" w:lastColumn="0" w:oddVBand="0" w:evenVBand="0" w:oddHBand="0" w:evenHBand="0" w:firstRowFirstColumn="0" w:firstRowLastColumn="0" w:lastRowFirstColumn="0" w:lastRowLastColumn="0"/>
            <w:tcW w:w="4786" w:type="dxa"/>
            <w:vAlign w:val="top"/>
          </w:tcPr>
          <w:p w14:paraId="2F0E71D8" w14:textId="77777777" w:rsidR="006E003D" w:rsidRPr="003E4711" w:rsidRDefault="006E003D" w:rsidP="006E003D">
            <w:pPr>
              <w:spacing w:before="0" w:after="0" w:line="240" w:lineRule="auto"/>
            </w:pPr>
            <w:r w:rsidRPr="003E4711">
              <w:t>Moravskoslezský kraj</w:t>
            </w:r>
          </w:p>
        </w:tc>
        <w:tc>
          <w:tcPr>
            <w:tcW w:w="1985" w:type="dxa"/>
            <w:vAlign w:val="top"/>
          </w:tcPr>
          <w:p w14:paraId="58322E14" w14:textId="77777777" w:rsidR="006E003D" w:rsidRPr="003E4711" w:rsidRDefault="006E003D" w:rsidP="006E003D">
            <w:pPr>
              <w:spacing w:before="0" w:after="0" w:line="240" w:lineRule="auto"/>
              <w:jc w:val="right"/>
              <w:cnfStyle w:val="000000000000" w:firstRow="0" w:lastRow="0" w:firstColumn="0" w:lastColumn="0" w:oddVBand="0" w:evenVBand="0" w:oddHBand="0" w:evenHBand="0" w:firstRowFirstColumn="0" w:firstRowLastColumn="0" w:lastRowFirstColumn="0" w:lastRowLastColumn="0"/>
            </w:pPr>
            <w:r w:rsidRPr="003E4711">
              <w:t>198,4</w:t>
            </w:r>
          </w:p>
        </w:tc>
        <w:tc>
          <w:tcPr>
            <w:tcW w:w="1872" w:type="dxa"/>
            <w:vAlign w:val="top"/>
          </w:tcPr>
          <w:p w14:paraId="181EA177" w14:textId="77777777" w:rsidR="006E003D" w:rsidRPr="003E4711" w:rsidRDefault="006E003D" w:rsidP="006E003D">
            <w:pPr>
              <w:spacing w:before="0" w:after="0" w:line="240" w:lineRule="auto"/>
              <w:jc w:val="right"/>
              <w:cnfStyle w:val="000000000000" w:firstRow="0" w:lastRow="0" w:firstColumn="0" w:lastColumn="0" w:oddVBand="0" w:evenVBand="0" w:oddHBand="0" w:evenHBand="0" w:firstRowFirstColumn="0" w:firstRowLastColumn="0" w:lastRowFirstColumn="0" w:lastRowLastColumn="0"/>
            </w:pPr>
            <w:r w:rsidRPr="003E4711">
              <w:t>11,2%</w:t>
            </w:r>
          </w:p>
        </w:tc>
      </w:tr>
      <w:tr w:rsidR="006E003D" w:rsidRPr="003E4711" w14:paraId="0BF64D15" w14:textId="77777777" w:rsidTr="003E4711">
        <w:tc>
          <w:tcPr>
            <w:cnfStyle w:val="001000000000" w:firstRow="0" w:lastRow="0" w:firstColumn="1" w:lastColumn="0" w:oddVBand="0" w:evenVBand="0" w:oddHBand="0" w:evenHBand="0" w:firstRowFirstColumn="0" w:firstRowLastColumn="0" w:lastRowFirstColumn="0" w:lastRowLastColumn="0"/>
            <w:tcW w:w="4786" w:type="dxa"/>
            <w:vAlign w:val="top"/>
          </w:tcPr>
          <w:p w14:paraId="2B022F4A" w14:textId="77777777" w:rsidR="006E003D" w:rsidRPr="003E4711" w:rsidRDefault="006E003D" w:rsidP="006E003D">
            <w:pPr>
              <w:spacing w:before="0" w:after="0" w:line="240" w:lineRule="auto"/>
            </w:pPr>
            <w:r w:rsidRPr="003E4711">
              <w:t>Jihomoravský kraj</w:t>
            </w:r>
          </w:p>
        </w:tc>
        <w:tc>
          <w:tcPr>
            <w:tcW w:w="1985" w:type="dxa"/>
            <w:vAlign w:val="top"/>
          </w:tcPr>
          <w:p w14:paraId="0DDCE0CF" w14:textId="77777777" w:rsidR="006E003D" w:rsidRPr="003E4711" w:rsidRDefault="006E003D" w:rsidP="006E003D">
            <w:pPr>
              <w:spacing w:before="0" w:after="0" w:line="240" w:lineRule="auto"/>
              <w:jc w:val="right"/>
              <w:cnfStyle w:val="000000000000" w:firstRow="0" w:lastRow="0" w:firstColumn="0" w:lastColumn="0" w:oddVBand="0" w:evenVBand="0" w:oddHBand="0" w:evenHBand="0" w:firstRowFirstColumn="0" w:firstRowLastColumn="0" w:lastRowFirstColumn="0" w:lastRowLastColumn="0"/>
            </w:pPr>
            <w:r w:rsidRPr="003E4711">
              <w:t>171,7</w:t>
            </w:r>
          </w:p>
        </w:tc>
        <w:tc>
          <w:tcPr>
            <w:tcW w:w="1872" w:type="dxa"/>
            <w:vAlign w:val="top"/>
          </w:tcPr>
          <w:p w14:paraId="6DA91E24" w14:textId="77777777" w:rsidR="006E003D" w:rsidRPr="003E4711" w:rsidRDefault="006E003D" w:rsidP="006E003D">
            <w:pPr>
              <w:spacing w:before="0" w:after="0" w:line="240" w:lineRule="auto"/>
              <w:jc w:val="right"/>
              <w:cnfStyle w:val="000000000000" w:firstRow="0" w:lastRow="0" w:firstColumn="0" w:lastColumn="0" w:oddVBand="0" w:evenVBand="0" w:oddHBand="0" w:evenHBand="0" w:firstRowFirstColumn="0" w:firstRowLastColumn="0" w:lastRowFirstColumn="0" w:lastRowLastColumn="0"/>
            </w:pPr>
            <w:r w:rsidRPr="003E4711">
              <w:t>9,7%</w:t>
            </w:r>
          </w:p>
        </w:tc>
      </w:tr>
    </w:tbl>
    <w:p w14:paraId="02F7D7CE" w14:textId="77777777" w:rsidR="00426268" w:rsidRDefault="00426268" w:rsidP="00426268">
      <w:pPr>
        <w:spacing w:before="0" w:after="0" w:line="240" w:lineRule="auto"/>
        <w:rPr>
          <w:lang w:bidi="ar-SA"/>
        </w:rPr>
      </w:pPr>
      <w:r w:rsidRPr="00F40DC7">
        <w:rPr>
          <w:rFonts w:asciiTheme="majorHAnsi" w:hAnsiTheme="majorHAnsi" w:cstheme="majorHAnsi"/>
          <w:sz w:val="18"/>
          <w:szCs w:val="18"/>
          <w:lang w:bidi="ar-SA"/>
        </w:rPr>
        <w:t xml:space="preserve">Zdroj: </w:t>
      </w:r>
      <w:r>
        <w:rPr>
          <w:rFonts w:asciiTheme="majorHAnsi" w:hAnsiTheme="majorHAnsi" w:cstheme="majorHAnsi"/>
          <w:sz w:val="18"/>
          <w:szCs w:val="18"/>
          <w:lang w:bidi="ar-SA"/>
        </w:rPr>
        <w:t>ČSÚ, národní účty 2017</w:t>
      </w:r>
    </w:p>
    <w:p w14:paraId="791E9DA6" w14:textId="77777777" w:rsidR="00426268" w:rsidRDefault="00E20EF5" w:rsidP="003E4352">
      <w:pPr>
        <w:rPr>
          <w:lang w:bidi="ar-SA"/>
        </w:rPr>
      </w:pPr>
      <w:r>
        <w:rPr>
          <w:lang w:bidi="ar-SA"/>
        </w:rPr>
        <w:t>V následujícím grafu je provedeno porovnání, jakým podílem se daný region podílí na tvorbě hrubé přidané hodnoty a jakým podílem na čerpání finančních prostředků na projekty realizující Národní RIS3 strategii.</w:t>
      </w:r>
    </w:p>
    <w:p w14:paraId="2692E2C5" w14:textId="77777777" w:rsidR="00E20EF5" w:rsidRDefault="00E20EF5" w:rsidP="003E4352">
      <w:pPr>
        <w:rPr>
          <w:lang w:bidi="ar-SA"/>
        </w:rPr>
      </w:pPr>
      <w:r>
        <w:rPr>
          <w:lang w:bidi="ar-SA"/>
        </w:rPr>
        <w:t>Na první pohled je zřejmé, že u některých krajů jsou podíly téměř shodné (Zlínský a Plzeňský kraj) a u některých jsou výrazné rozdíly v jednom či druhém směru (Jihomoravský a Moravskoslezský kraj).</w:t>
      </w:r>
    </w:p>
    <w:p w14:paraId="6C12548A" w14:textId="77777777" w:rsidR="00E87C41" w:rsidRDefault="002C76AB" w:rsidP="003E4352">
      <w:pPr>
        <w:rPr>
          <w:lang w:bidi="ar-SA"/>
        </w:rPr>
      </w:pPr>
      <w:bookmarkStart w:id="95" w:name="_Toc5626508"/>
      <w:r w:rsidRPr="00570F07">
        <w:rPr>
          <w:b/>
          <w:szCs w:val="22"/>
        </w:rPr>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25</w:t>
      </w:r>
      <w:r w:rsidR="008A090D" w:rsidRPr="00570F07">
        <w:rPr>
          <w:b/>
          <w:szCs w:val="22"/>
        </w:rPr>
        <w:fldChar w:fldCharType="end"/>
      </w:r>
      <w:r w:rsidRPr="00570F07">
        <w:rPr>
          <w:b/>
          <w:szCs w:val="22"/>
        </w:rPr>
        <w:t xml:space="preserve"> </w:t>
      </w:r>
      <w:r>
        <w:rPr>
          <w:b/>
          <w:szCs w:val="22"/>
        </w:rPr>
        <w:t xml:space="preserve">– </w:t>
      </w:r>
      <w:r>
        <w:rPr>
          <w:lang w:bidi="ar-SA"/>
        </w:rPr>
        <w:t xml:space="preserve">Relace HPH a </w:t>
      </w:r>
      <w:r w:rsidR="00E91C02">
        <w:rPr>
          <w:lang w:bidi="ar-SA"/>
        </w:rPr>
        <w:t>CZV v regionech ČR</w:t>
      </w:r>
      <w:bookmarkEnd w:id="95"/>
    </w:p>
    <w:p w14:paraId="16421C16" w14:textId="77777777" w:rsidR="006E003D" w:rsidRDefault="006E003D">
      <w:pPr>
        <w:spacing w:before="0" w:after="0" w:line="240" w:lineRule="auto"/>
        <w:jc w:val="left"/>
        <w:rPr>
          <w:rFonts w:asciiTheme="majorHAnsi" w:eastAsiaTheme="majorEastAsia" w:hAnsiTheme="majorHAnsi" w:cstheme="majorBidi"/>
          <w:bCs/>
          <w:color w:val="004B8D"/>
          <w:spacing w:val="0"/>
          <w:szCs w:val="26"/>
          <w:lang w:bidi="ar-SA"/>
        </w:rPr>
      </w:pPr>
      <w:r w:rsidRPr="00E87C41">
        <w:rPr>
          <w:noProof/>
          <w:lang w:eastAsia="cs-CZ" w:bidi="ar-SA"/>
        </w:rPr>
        <w:drawing>
          <wp:inline distT="0" distB="0" distL="0" distR="0" wp14:anchorId="18910E11" wp14:editId="0FD54EB0">
            <wp:extent cx="5399405" cy="2090654"/>
            <wp:effectExtent l="19050" t="0" r="0" b="0"/>
            <wp:docPr id="21"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srcRect/>
                    <a:stretch>
                      <a:fillRect/>
                    </a:stretch>
                  </pic:blipFill>
                  <pic:spPr bwMode="auto">
                    <a:xfrm>
                      <a:off x="0" y="0"/>
                      <a:ext cx="5399405" cy="2090654"/>
                    </a:xfrm>
                    <a:prstGeom prst="rect">
                      <a:avLst/>
                    </a:prstGeom>
                    <a:noFill/>
                    <a:ln w="9525">
                      <a:noFill/>
                      <a:miter lim="800000"/>
                      <a:headEnd/>
                      <a:tailEnd/>
                    </a:ln>
                  </pic:spPr>
                </pic:pic>
              </a:graphicData>
            </a:graphic>
          </wp:inline>
        </w:drawing>
      </w:r>
    </w:p>
    <w:p w14:paraId="013C257A" w14:textId="77777777" w:rsidR="002C76AB" w:rsidRDefault="002C76AB" w:rsidP="002C76AB">
      <w:pPr>
        <w:spacing w:before="0" w:after="0" w:line="240" w:lineRule="auto"/>
        <w:rPr>
          <w:lang w:bidi="ar-SA"/>
        </w:rPr>
      </w:pPr>
      <w:r w:rsidRPr="00F40DC7">
        <w:rPr>
          <w:rFonts w:asciiTheme="majorHAnsi" w:hAnsiTheme="majorHAnsi" w:cstheme="majorHAnsi"/>
          <w:sz w:val="18"/>
          <w:szCs w:val="18"/>
          <w:lang w:bidi="ar-SA"/>
        </w:rPr>
        <w:t xml:space="preserve">Zdroj: </w:t>
      </w:r>
      <w:r>
        <w:rPr>
          <w:rFonts w:asciiTheme="majorHAnsi" w:hAnsiTheme="majorHAnsi" w:cstheme="majorHAnsi"/>
          <w:sz w:val="18"/>
          <w:szCs w:val="18"/>
          <w:lang w:bidi="ar-SA"/>
        </w:rPr>
        <w:t>ČSÚ</w:t>
      </w:r>
      <w:r w:rsidR="00633C90">
        <w:rPr>
          <w:rFonts w:asciiTheme="majorHAnsi" w:hAnsiTheme="majorHAnsi" w:cstheme="majorHAnsi"/>
          <w:sz w:val="18"/>
          <w:szCs w:val="18"/>
          <w:lang w:bidi="ar-SA"/>
        </w:rPr>
        <w:t>,</w:t>
      </w:r>
      <w:r>
        <w:rPr>
          <w:rFonts w:asciiTheme="majorHAnsi" w:hAnsiTheme="majorHAnsi" w:cstheme="majorHAnsi"/>
          <w:sz w:val="18"/>
          <w:szCs w:val="18"/>
          <w:lang w:bidi="ar-SA"/>
        </w:rPr>
        <w:t xml:space="preserve"> národní účty 2017; </w:t>
      </w:r>
      <w:r w:rsidRPr="00F40DC7">
        <w:rPr>
          <w:rFonts w:asciiTheme="majorHAnsi" w:hAnsiTheme="majorHAnsi" w:cstheme="majorHAnsi"/>
          <w:sz w:val="18"/>
          <w:szCs w:val="18"/>
          <w:lang w:bidi="ar-SA"/>
        </w:rPr>
        <w:t>monitoring MPO, vlastní zpracování</w:t>
      </w:r>
    </w:p>
    <w:p w14:paraId="7B76769C" w14:textId="77777777" w:rsidR="006E003D" w:rsidRDefault="006E003D">
      <w:pPr>
        <w:spacing w:before="0" w:after="0" w:line="240" w:lineRule="auto"/>
        <w:jc w:val="left"/>
        <w:rPr>
          <w:rFonts w:asciiTheme="majorHAnsi" w:eastAsiaTheme="majorEastAsia" w:hAnsiTheme="majorHAnsi" w:cstheme="majorBidi"/>
          <w:bCs/>
          <w:color w:val="004B8D"/>
          <w:spacing w:val="0"/>
          <w:szCs w:val="26"/>
          <w:lang w:bidi="ar-SA"/>
        </w:rPr>
      </w:pPr>
    </w:p>
    <w:p w14:paraId="0AB12ED8" w14:textId="77777777" w:rsidR="001927F1" w:rsidRDefault="006E003D" w:rsidP="006E003D">
      <w:pPr>
        <w:rPr>
          <w:lang w:bidi="ar-SA"/>
        </w:rPr>
      </w:pPr>
      <w:r w:rsidRPr="006E003D">
        <w:rPr>
          <w:lang w:bidi="ar-SA"/>
        </w:rPr>
        <w:t xml:space="preserve">Přijmeme-li tezi, že </w:t>
      </w:r>
      <w:r w:rsidR="00E91C02">
        <w:rPr>
          <w:lang w:bidi="ar-SA"/>
        </w:rPr>
        <w:t>podle</w:t>
      </w:r>
      <w:r>
        <w:rPr>
          <w:lang w:bidi="ar-SA"/>
        </w:rPr>
        <w:t xml:space="preserve"> podílu </w:t>
      </w:r>
      <w:r w:rsidR="00247711">
        <w:rPr>
          <w:lang w:bidi="ar-SA"/>
        </w:rPr>
        <w:t>financování</w:t>
      </w:r>
      <w:r>
        <w:rPr>
          <w:lang w:bidi="ar-SA"/>
        </w:rPr>
        <w:t xml:space="preserve"> projekt</w:t>
      </w:r>
      <w:r w:rsidR="00247711">
        <w:rPr>
          <w:lang w:bidi="ar-SA"/>
        </w:rPr>
        <w:t>ů</w:t>
      </w:r>
      <w:r>
        <w:rPr>
          <w:lang w:bidi="ar-SA"/>
        </w:rPr>
        <w:t xml:space="preserve"> spadajících pod Národní RIS3 strategii </w:t>
      </w:r>
      <w:r w:rsidR="001927F1">
        <w:rPr>
          <w:lang w:bidi="ar-SA"/>
        </w:rPr>
        <w:t xml:space="preserve">lze usuzovat na </w:t>
      </w:r>
      <w:r w:rsidR="00247711">
        <w:rPr>
          <w:lang w:bidi="ar-SA"/>
        </w:rPr>
        <w:t xml:space="preserve">míru </w:t>
      </w:r>
      <w:r w:rsidR="001927F1">
        <w:rPr>
          <w:lang w:bidi="ar-SA"/>
        </w:rPr>
        <w:t>inovační</w:t>
      </w:r>
      <w:r w:rsidR="00247711">
        <w:rPr>
          <w:lang w:bidi="ar-SA"/>
        </w:rPr>
        <w:t>ho</w:t>
      </w:r>
      <w:r w:rsidR="001927F1">
        <w:rPr>
          <w:lang w:bidi="ar-SA"/>
        </w:rPr>
        <w:t xml:space="preserve"> potenciál</w:t>
      </w:r>
      <w:r w:rsidR="00247711">
        <w:rPr>
          <w:lang w:bidi="ar-SA"/>
        </w:rPr>
        <w:t>u</w:t>
      </w:r>
      <w:r w:rsidR="001927F1">
        <w:rPr>
          <w:lang w:bidi="ar-SA"/>
        </w:rPr>
        <w:t xml:space="preserve"> regionu, tak </w:t>
      </w:r>
      <w:r w:rsidR="00E20EF5">
        <w:rPr>
          <w:lang w:bidi="ar-SA"/>
        </w:rPr>
        <w:t>z diferenciálu k relativní hodnotě vytvořené hrubé přidané hodnoty</w:t>
      </w:r>
      <w:r w:rsidR="001927F1">
        <w:rPr>
          <w:lang w:bidi="ar-SA"/>
        </w:rPr>
        <w:t xml:space="preserve"> lze učinit určité závěry.</w:t>
      </w:r>
    </w:p>
    <w:p w14:paraId="4A5ED056" w14:textId="77777777" w:rsidR="001A2E56" w:rsidRDefault="001927F1" w:rsidP="006E003D">
      <w:pPr>
        <w:rPr>
          <w:lang w:bidi="ar-SA"/>
        </w:rPr>
      </w:pPr>
      <w:r>
        <w:rPr>
          <w:lang w:bidi="ar-SA"/>
        </w:rPr>
        <w:t>Výrazně nadprůměrn</w:t>
      </w:r>
      <w:r w:rsidR="00247711">
        <w:rPr>
          <w:lang w:bidi="ar-SA"/>
        </w:rPr>
        <w:t xml:space="preserve">ou absorpční kapacitu pro projekty inovačního charakteru </w:t>
      </w:r>
      <w:r>
        <w:rPr>
          <w:lang w:bidi="ar-SA"/>
        </w:rPr>
        <w:t>lze indikovat v Jihomoravském kraji a dále pak v Praze, Olomouckém a Středočeském kraji</w:t>
      </w:r>
      <w:r w:rsidR="00312FAB">
        <w:rPr>
          <w:lang w:bidi="ar-SA"/>
        </w:rPr>
        <w:t>. Zejména v Jihomoravském kraji je diferenciál k hodnotě vytvořené hrubé přidané hodnoty enormní</w:t>
      </w:r>
      <w:r>
        <w:rPr>
          <w:lang w:bidi="ar-SA"/>
        </w:rPr>
        <w:t xml:space="preserve">. Naproti </w:t>
      </w:r>
      <w:r>
        <w:rPr>
          <w:lang w:bidi="ar-SA"/>
        </w:rPr>
        <w:lastRenderedPageBreak/>
        <w:t>tomu inovační potenciál v krajích Moravskoslezském, Ústeckém, Královéhradeckém</w:t>
      </w:r>
      <w:r w:rsidR="008859CF">
        <w:rPr>
          <w:lang w:bidi="ar-SA"/>
        </w:rPr>
        <w:t>, Karlovarském</w:t>
      </w:r>
      <w:r>
        <w:rPr>
          <w:lang w:bidi="ar-SA"/>
        </w:rPr>
        <w:t xml:space="preserve"> a Vysočina se zdá nižší, než by odpovídalo velikosti výrobní základny. Částečně je to dáno</w:t>
      </w:r>
      <w:r w:rsidR="005A6970">
        <w:rPr>
          <w:lang w:bidi="ar-SA"/>
        </w:rPr>
        <w:t xml:space="preserve"> strukturou vytvořené hrubé přidané hodnoty a částečně</w:t>
      </w:r>
      <w:r>
        <w:rPr>
          <w:lang w:bidi="ar-SA"/>
        </w:rPr>
        <w:t xml:space="preserve"> i absencí silné vědeckovýzkumné základny v těchto krajích</w:t>
      </w:r>
      <w:r w:rsidR="002106B7">
        <w:rPr>
          <w:rStyle w:val="Znakapoznpodarou"/>
          <w:lang w:bidi="ar-SA"/>
        </w:rPr>
        <w:footnoteReference w:id="54"/>
      </w:r>
      <w:r>
        <w:rPr>
          <w:lang w:bidi="ar-SA"/>
        </w:rPr>
        <w:t xml:space="preserve">. </w:t>
      </w:r>
    </w:p>
    <w:p w14:paraId="326B521A" w14:textId="77777777" w:rsidR="002106B7" w:rsidRDefault="002106B7" w:rsidP="005A6970">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p>
    <w:p w14:paraId="5A3987A2" w14:textId="77777777" w:rsidR="00E3290F" w:rsidRPr="005A6970" w:rsidRDefault="005A6970" w:rsidP="005A6970">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bookmarkStart w:id="96" w:name="_Toc5626473"/>
      <w:r>
        <w:rPr>
          <w:rFonts w:asciiTheme="majorHAnsi" w:eastAsiaTheme="majorEastAsia" w:hAnsiTheme="majorHAnsi" w:cstheme="majorHAnsi"/>
          <w:i/>
          <w:caps/>
          <w:color w:val="004B8D"/>
          <w:spacing w:val="0"/>
          <w:sz w:val="22"/>
          <w:lang w:bidi="ar-SA"/>
        </w:rPr>
        <w:t xml:space="preserve">5.2.2 </w:t>
      </w:r>
      <w:r w:rsidR="00E3290F" w:rsidRPr="005A6970">
        <w:rPr>
          <w:rFonts w:asciiTheme="majorHAnsi" w:eastAsiaTheme="majorEastAsia" w:hAnsiTheme="majorHAnsi" w:cstheme="majorHAnsi"/>
          <w:i/>
          <w:caps/>
          <w:color w:val="004B8D"/>
          <w:spacing w:val="0"/>
          <w:sz w:val="22"/>
          <w:lang w:bidi="ar-SA"/>
        </w:rPr>
        <w:t>Krajské přílohy Národní RIS3 strategie</w:t>
      </w:r>
      <w:bookmarkEnd w:id="96"/>
    </w:p>
    <w:p w14:paraId="6C154A09" w14:textId="1591B884" w:rsidR="00E3290F" w:rsidRPr="00543D29" w:rsidRDefault="006C2E8D" w:rsidP="006E003D">
      <w:pPr>
        <w:rPr>
          <w:lang w:bidi="ar-SA"/>
        </w:rPr>
      </w:pPr>
      <w:r w:rsidRPr="00543D29">
        <w:rPr>
          <w:lang w:bidi="ar-SA"/>
        </w:rPr>
        <w:t xml:space="preserve">Krajské přílohy Národní RIS3 strategie svým </w:t>
      </w:r>
      <w:r w:rsidR="00543D29">
        <w:rPr>
          <w:lang w:bidi="ar-SA"/>
        </w:rPr>
        <w:t xml:space="preserve">současným </w:t>
      </w:r>
      <w:r w:rsidRPr="00543D29">
        <w:rPr>
          <w:lang w:bidi="ar-SA"/>
        </w:rPr>
        <w:t>pojetím přináš</w:t>
      </w:r>
      <w:r w:rsidR="00543D29">
        <w:rPr>
          <w:lang w:bidi="ar-SA"/>
        </w:rPr>
        <w:t>ej</w:t>
      </w:r>
      <w:r w:rsidRPr="00543D29">
        <w:rPr>
          <w:lang w:bidi="ar-SA"/>
        </w:rPr>
        <w:t>í do procesu</w:t>
      </w:r>
      <w:r w:rsidR="00543D29" w:rsidRPr="00543D29">
        <w:rPr>
          <w:lang w:bidi="ar-SA"/>
        </w:rPr>
        <w:t xml:space="preserve"> </w:t>
      </w:r>
      <w:r w:rsidR="00543D29">
        <w:rPr>
          <w:lang w:bidi="ar-SA"/>
        </w:rPr>
        <w:t>„</w:t>
      </w:r>
      <w:r w:rsidR="00543D29" w:rsidRPr="00543D29">
        <w:rPr>
          <w:lang w:bidi="ar-SA"/>
        </w:rPr>
        <w:t>inteligentní specializace</w:t>
      </w:r>
      <w:r w:rsidR="00543D29">
        <w:rPr>
          <w:lang w:bidi="ar-SA"/>
        </w:rPr>
        <w:t>“</w:t>
      </w:r>
      <w:r w:rsidR="00543D29" w:rsidRPr="00543D29">
        <w:rPr>
          <w:lang w:bidi="ar-SA"/>
        </w:rPr>
        <w:t xml:space="preserve"> je</w:t>
      </w:r>
      <w:r w:rsidR="009F155E">
        <w:rPr>
          <w:lang w:bidi="ar-SA"/>
        </w:rPr>
        <w:t>n</w:t>
      </w:r>
      <w:r w:rsidR="00543D29" w:rsidRPr="00543D29">
        <w:rPr>
          <w:lang w:bidi="ar-SA"/>
        </w:rPr>
        <w:t xml:space="preserve"> minimální</w:t>
      </w:r>
      <w:r w:rsidRPr="00543D29">
        <w:rPr>
          <w:lang w:bidi="ar-SA"/>
        </w:rPr>
        <w:t xml:space="preserve"> přidanou hodnotu. V </w:t>
      </w:r>
      <w:r w:rsidR="00974BA1">
        <w:rPr>
          <w:lang w:bidi="ar-SA"/>
        </w:rPr>
        <w:t>některých</w:t>
      </w:r>
      <w:r w:rsidR="00974BA1" w:rsidRPr="00543D29">
        <w:rPr>
          <w:lang w:bidi="ar-SA"/>
        </w:rPr>
        <w:t xml:space="preserve"> </w:t>
      </w:r>
      <w:r w:rsidRPr="00543D29">
        <w:rPr>
          <w:lang w:bidi="ar-SA"/>
        </w:rPr>
        <w:t xml:space="preserve"> p</w:t>
      </w:r>
      <w:r w:rsidR="005A6970" w:rsidRPr="00543D29">
        <w:rPr>
          <w:lang w:bidi="ar-SA"/>
        </w:rPr>
        <w:t>ř</w:t>
      </w:r>
      <w:r w:rsidRPr="00543D29">
        <w:rPr>
          <w:lang w:bidi="ar-SA"/>
        </w:rPr>
        <w:t>ípad</w:t>
      </w:r>
      <w:r w:rsidR="00974BA1">
        <w:rPr>
          <w:lang w:bidi="ar-SA"/>
        </w:rPr>
        <w:t>ech</w:t>
      </w:r>
      <w:r w:rsidRPr="00543D29">
        <w:rPr>
          <w:lang w:bidi="ar-SA"/>
        </w:rPr>
        <w:t xml:space="preserve"> s</w:t>
      </w:r>
      <w:r w:rsidR="005A6970" w:rsidRPr="00543D29">
        <w:rPr>
          <w:lang w:bidi="ar-SA"/>
        </w:rPr>
        <w:t>e</w:t>
      </w:r>
      <w:r w:rsidRPr="00543D29">
        <w:rPr>
          <w:lang w:bidi="ar-SA"/>
        </w:rPr>
        <w:t xml:space="preserve"> profilují jako </w:t>
      </w:r>
      <w:r w:rsidRPr="00543D29">
        <w:rPr>
          <w:b/>
          <w:lang w:bidi="ar-SA"/>
        </w:rPr>
        <w:t xml:space="preserve">REGIONÁLNÍ inovační strategie </w:t>
      </w:r>
      <w:r w:rsidRPr="00543D29">
        <w:rPr>
          <w:lang w:bidi="ar-SA"/>
        </w:rPr>
        <w:t>a k tomu jsou zaměřeny i aktivity Krajských inovačních platforem.</w:t>
      </w:r>
    </w:p>
    <w:p w14:paraId="07C62299" w14:textId="77777777" w:rsidR="006C2E8D" w:rsidRPr="00543D29" w:rsidRDefault="006C2E8D" w:rsidP="006E003D">
      <w:pPr>
        <w:rPr>
          <w:lang w:bidi="ar-SA"/>
        </w:rPr>
      </w:pPr>
      <w:r w:rsidRPr="00543D29">
        <w:rPr>
          <w:lang w:bidi="ar-SA"/>
        </w:rPr>
        <w:t xml:space="preserve">Tento přístup je legitimní, avšak k cíli „inteligentní specializace“ přispívají pouze formálně. </w:t>
      </w:r>
      <w:r w:rsidR="004174AC" w:rsidRPr="00543D29">
        <w:rPr>
          <w:lang w:bidi="ar-SA"/>
        </w:rPr>
        <w:t>Za lokální specializac</w:t>
      </w:r>
      <w:r w:rsidR="00913918" w:rsidRPr="00543D29">
        <w:rPr>
          <w:lang w:bidi="ar-SA"/>
        </w:rPr>
        <w:t>i</w:t>
      </w:r>
      <w:r w:rsidR="004174AC" w:rsidRPr="00543D29">
        <w:rPr>
          <w:lang w:bidi="ar-SA"/>
        </w:rPr>
        <w:t xml:space="preserve"> se ve většině případů vydává reálný odraz struktury produkce v kraji a více než o specializaci se jedná o </w:t>
      </w:r>
      <w:r w:rsidR="00543D29" w:rsidRPr="00543D29">
        <w:rPr>
          <w:lang w:bidi="ar-SA"/>
        </w:rPr>
        <w:t xml:space="preserve">regionální </w:t>
      </w:r>
      <w:r w:rsidR="00543D29">
        <w:rPr>
          <w:lang w:bidi="ar-SA"/>
        </w:rPr>
        <w:t>zaměření</w:t>
      </w:r>
      <w:r w:rsidR="00543D29" w:rsidRPr="00543D29">
        <w:rPr>
          <w:lang w:bidi="ar-SA"/>
        </w:rPr>
        <w:t xml:space="preserve"> produkce</w:t>
      </w:r>
      <w:r w:rsidR="004174AC" w:rsidRPr="00543D29">
        <w:rPr>
          <w:lang w:bidi="ar-SA"/>
        </w:rPr>
        <w:t>.</w:t>
      </w:r>
    </w:p>
    <w:p w14:paraId="572A0DA4" w14:textId="6A7612E2" w:rsidR="004174AC" w:rsidRDefault="00543D29" w:rsidP="006E003D">
      <w:pPr>
        <w:rPr>
          <w:lang w:bidi="ar-SA"/>
        </w:rPr>
      </w:pPr>
      <w:r w:rsidRPr="00543D29">
        <w:rPr>
          <w:lang w:bidi="ar-SA"/>
        </w:rPr>
        <w:t>P</w:t>
      </w:r>
      <w:r w:rsidR="004174AC" w:rsidRPr="00543D29">
        <w:rPr>
          <w:lang w:bidi="ar-SA"/>
        </w:rPr>
        <w:t>roti snaze na lokální (krajské) úrovni podporovat inovace, propojovat výzkum a vývoj s realizační základnou a všechny další atributy zvyšování konkurenceschopnosti prostřednictvím inovací</w:t>
      </w:r>
      <w:r w:rsidRPr="00543D29">
        <w:rPr>
          <w:lang w:bidi="ar-SA"/>
        </w:rPr>
        <w:t xml:space="preserve"> nelze nic namítat</w:t>
      </w:r>
      <w:r w:rsidR="004174AC" w:rsidRPr="00543D29">
        <w:rPr>
          <w:lang w:bidi="ar-SA"/>
        </w:rPr>
        <w:t>. Navíc je třeba zohlednit, že v některých krajích existovaly Regionální inovační strategie před konstitucí Národní RIS3 strategie a byly k ní připojeny zcela nesystémově.</w:t>
      </w:r>
    </w:p>
    <w:p w14:paraId="035A200D" w14:textId="44B17CA8" w:rsidR="00B9006B" w:rsidRPr="00AC06B1" w:rsidRDefault="00B9006B" w:rsidP="00B9006B">
      <w:pPr>
        <w:spacing w:before="120" w:after="120" w:line="240" w:lineRule="auto"/>
        <w:rPr>
          <w:rFonts w:asciiTheme="majorHAnsi" w:hAnsiTheme="majorHAnsi" w:cstheme="majorHAnsi"/>
        </w:rPr>
      </w:pPr>
      <w:r w:rsidRPr="00AC06B1">
        <w:rPr>
          <w:rFonts w:asciiTheme="majorHAnsi" w:hAnsiTheme="majorHAnsi" w:cstheme="majorHAnsi"/>
        </w:rPr>
        <w:t>Pro posílení regionální ekonomiky je vysoce pozitivní jakákoliv snaha podnikatelského sektoru o</w:t>
      </w:r>
      <w:r w:rsidR="00D5023C">
        <w:rPr>
          <w:rFonts w:asciiTheme="majorHAnsi" w:hAnsiTheme="majorHAnsi" w:cstheme="majorHAnsi"/>
        </w:rPr>
        <w:t> </w:t>
      </w:r>
      <w:r w:rsidRPr="00AC06B1">
        <w:rPr>
          <w:rFonts w:asciiTheme="majorHAnsi" w:hAnsiTheme="majorHAnsi" w:cstheme="majorHAnsi"/>
        </w:rPr>
        <w:t>rozvoj inovací. To ovšem neznamená, že předmětem krajské specializace mají být všechny podstatné ekonomické aktivity, které v regionu jsou.</w:t>
      </w:r>
    </w:p>
    <w:p w14:paraId="338C5389" w14:textId="23B80330" w:rsidR="00B9006B" w:rsidRPr="00AC06B1" w:rsidRDefault="00B9006B" w:rsidP="00B9006B">
      <w:pPr>
        <w:spacing w:before="120" w:after="120" w:line="240" w:lineRule="auto"/>
        <w:rPr>
          <w:rFonts w:asciiTheme="majorHAnsi" w:hAnsiTheme="majorHAnsi" w:cstheme="majorHAnsi"/>
        </w:rPr>
      </w:pPr>
      <w:r>
        <w:rPr>
          <w:rFonts w:asciiTheme="majorHAnsi" w:hAnsiTheme="majorHAnsi" w:cstheme="majorHAnsi"/>
        </w:rPr>
        <w:t>U</w:t>
      </w:r>
      <w:r w:rsidRPr="00AC06B1">
        <w:rPr>
          <w:rFonts w:asciiTheme="majorHAnsi" w:hAnsiTheme="majorHAnsi" w:cstheme="majorHAnsi"/>
        </w:rPr>
        <w:t xml:space="preserve"> převážné většiny regionů jsou krajské domény specializace odrazem toho, na co se přirozeným procesem v minulosti krajská ekonomika specializovala (zaměřila). Velká část deklarovaných krajských domén specializace </w:t>
      </w:r>
      <w:r>
        <w:rPr>
          <w:rFonts w:asciiTheme="majorHAnsi" w:hAnsiTheme="majorHAnsi" w:cstheme="majorHAnsi"/>
        </w:rPr>
        <w:t>tak</w:t>
      </w:r>
      <w:r w:rsidRPr="00AC06B1">
        <w:rPr>
          <w:rFonts w:asciiTheme="majorHAnsi" w:hAnsiTheme="majorHAnsi" w:cstheme="majorHAnsi"/>
        </w:rPr>
        <w:t xml:space="preserve"> spíš než o specializaci hovoří o potenciálu</w:t>
      </w:r>
      <w:r>
        <w:rPr>
          <w:rFonts w:asciiTheme="majorHAnsi" w:hAnsiTheme="majorHAnsi" w:cstheme="majorHAnsi"/>
        </w:rPr>
        <w:t xml:space="preserve"> a k</w:t>
      </w:r>
      <w:r w:rsidRPr="00AC06B1">
        <w:rPr>
          <w:rFonts w:asciiTheme="majorHAnsi" w:hAnsiTheme="majorHAnsi" w:cstheme="majorHAnsi"/>
        </w:rPr>
        <w:t>rajské domény specializace vlastně popisují nejvýznamnější aplikační odvětví kraje</w:t>
      </w:r>
      <w:r>
        <w:rPr>
          <w:rFonts w:asciiTheme="majorHAnsi" w:hAnsiTheme="majorHAnsi" w:cstheme="majorHAnsi"/>
        </w:rPr>
        <w:t>,</w:t>
      </w:r>
      <w:r w:rsidRPr="00DF4D98">
        <w:rPr>
          <w:rFonts w:asciiTheme="majorHAnsi" w:hAnsiTheme="majorHAnsi" w:cstheme="majorHAnsi"/>
        </w:rPr>
        <w:t xml:space="preserve"> </w:t>
      </w:r>
      <w:r w:rsidRPr="00AC06B1">
        <w:rPr>
          <w:rFonts w:asciiTheme="majorHAnsi" w:hAnsiTheme="majorHAnsi" w:cstheme="majorHAnsi"/>
        </w:rPr>
        <w:t xml:space="preserve">tedy specializaci </w:t>
      </w:r>
      <w:r>
        <w:rPr>
          <w:rFonts w:asciiTheme="majorHAnsi" w:hAnsiTheme="majorHAnsi" w:cstheme="majorHAnsi"/>
        </w:rPr>
        <w:t xml:space="preserve">vzniklou </w:t>
      </w:r>
      <w:r w:rsidRPr="00AC06B1">
        <w:rPr>
          <w:rFonts w:asciiTheme="majorHAnsi" w:hAnsiTheme="majorHAnsi" w:cstheme="majorHAnsi"/>
        </w:rPr>
        <w:t>historick</w:t>
      </w:r>
      <w:r>
        <w:rPr>
          <w:rFonts w:asciiTheme="majorHAnsi" w:hAnsiTheme="majorHAnsi" w:cstheme="majorHAnsi"/>
        </w:rPr>
        <w:t>ým vývojem</w:t>
      </w:r>
      <w:r w:rsidRPr="00AC06B1">
        <w:rPr>
          <w:rFonts w:asciiTheme="majorHAnsi" w:hAnsiTheme="majorHAnsi" w:cstheme="majorHAnsi"/>
        </w:rPr>
        <w:t>.</w:t>
      </w:r>
      <w:r w:rsidRPr="00DF4D98">
        <w:rPr>
          <w:rFonts w:asciiTheme="majorHAnsi" w:hAnsiTheme="majorHAnsi" w:cstheme="majorHAnsi"/>
        </w:rPr>
        <w:t xml:space="preserve"> </w:t>
      </w:r>
      <w:r w:rsidRPr="00AC06B1">
        <w:rPr>
          <w:rFonts w:asciiTheme="majorHAnsi" w:hAnsiTheme="majorHAnsi" w:cstheme="majorHAnsi"/>
        </w:rPr>
        <w:t xml:space="preserve">Pouze v malém procentu případů je mezi </w:t>
      </w:r>
      <w:r>
        <w:rPr>
          <w:rFonts w:asciiTheme="majorHAnsi" w:hAnsiTheme="majorHAnsi" w:cstheme="majorHAnsi"/>
        </w:rPr>
        <w:t>krajskými doménami specializace</w:t>
      </w:r>
      <w:r w:rsidRPr="00AC06B1">
        <w:rPr>
          <w:rFonts w:asciiTheme="majorHAnsi" w:hAnsiTheme="majorHAnsi" w:cstheme="majorHAnsi"/>
        </w:rPr>
        <w:t xml:space="preserve"> i</w:t>
      </w:r>
      <w:r w:rsidR="00DF57DF">
        <w:rPr>
          <w:rFonts w:asciiTheme="majorHAnsi" w:hAnsiTheme="majorHAnsi" w:cstheme="majorHAnsi"/>
        </w:rPr>
        <w:t> </w:t>
      </w:r>
      <w:r w:rsidRPr="00AC06B1">
        <w:rPr>
          <w:rFonts w:asciiTheme="majorHAnsi" w:hAnsiTheme="majorHAnsi" w:cstheme="majorHAnsi"/>
        </w:rPr>
        <w:t>technologická (znalostní) doména.</w:t>
      </w:r>
    </w:p>
    <w:p w14:paraId="296D8D2E" w14:textId="5FE92195" w:rsidR="00B9006B" w:rsidRDefault="00B9006B" w:rsidP="00B9006B">
      <w:pPr>
        <w:spacing w:before="120" w:after="120" w:line="240" w:lineRule="auto"/>
        <w:rPr>
          <w:rFonts w:asciiTheme="majorHAnsi" w:hAnsiTheme="majorHAnsi" w:cstheme="majorHAnsi"/>
        </w:rPr>
      </w:pPr>
      <w:r w:rsidRPr="00AC06B1">
        <w:rPr>
          <w:rFonts w:asciiTheme="majorHAnsi" w:hAnsiTheme="majorHAnsi" w:cstheme="majorHAnsi"/>
        </w:rPr>
        <w:t>V pojetí inteligentní specializace však jde o specializaci na bázi propojení vědecko</w:t>
      </w:r>
      <w:r>
        <w:rPr>
          <w:rFonts w:asciiTheme="majorHAnsi" w:hAnsiTheme="majorHAnsi" w:cstheme="majorHAnsi"/>
        </w:rPr>
        <w:t>výzkumn</w:t>
      </w:r>
      <w:r w:rsidRPr="00AC06B1">
        <w:rPr>
          <w:rFonts w:asciiTheme="majorHAnsi" w:hAnsiTheme="majorHAnsi" w:cstheme="majorHAnsi"/>
        </w:rPr>
        <w:t>é základny a aplikačních odvětví tak, aby byl podpořen transfer vědeckotechnických poznatků a</w:t>
      </w:r>
      <w:r w:rsidR="00D351CD">
        <w:rPr>
          <w:rFonts w:asciiTheme="majorHAnsi" w:hAnsiTheme="majorHAnsi" w:cstheme="majorHAnsi"/>
        </w:rPr>
        <w:t> </w:t>
      </w:r>
      <w:r w:rsidRPr="00AC06B1">
        <w:rPr>
          <w:rFonts w:asciiTheme="majorHAnsi" w:hAnsiTheme="majorHAnsi" w:cstheme="majorHAnsi"/>
        </w:rPr>
        <w:t>inovačních impulsů směrem k produkční základně kraje a přispíval tak ke zvyšování konkurenceschopnosti a pozice na trhu</w:t>
      </w:r>
      <w:r>
        <w:rPr>
          <w:rFonts w:asciiTheme="majorHAnsi" w:hAnsiTheme="majorHAnsi" w:cstheme="majorHAnsi"/>
        </w:rPr>
        <w:t xml:space="preserve"> právě v oblastech uváděných jako krajské domény specializace</w:t>
      </w:r>
      <w:r w:rsidRPr="00AC06B1">
        <w:rPr>
          <w:rFonts w:asciiTheme="majorHAnsi" w:hAnsiTheme="majorHAnsi" w:cstheme="majorHAnsi"/>
        </w:rPr>
        <w:t>.</w:t>
      </w:r>
      <w:r>
        <w:rPr>
          <w:rFonts w:asciiTheme="majorHAnsi" w:hAnsiTheme="majorHAnsi" w:cstheme="majorHAnsi"/>
        </w:rPr>
        <w:t xml:space="preserve"> Takto je však proces inteligentní specializace chápán v krajích jen výjimečně.</w:t>
      </w:r>
    </w:p>
    <w:p w14:paraId="6ACDF274" w14:textId="3EC68773" w:rsidR="00B9006B" w:rsidRPr="00AC06B1" w:rsidRDefault="00836918" w:rsidP="00B9006B">
      <w:pPr>
        <w:spacing w:before="120" w:after="120" w:line="240" w:lineRule="auto"/>
        <w:rPr>
          <w:rFonts w:asciiTheme="majorHAnsi" w:hAnsiTheme="majorHAnsi" w:cstheme="majorHAnsi"/>
        </w:rPr>
      </w:pPr>
      <w:r>
        <w:rPr>
          <w:rFonts w:asciiTheme="majorHAnsi" w:hAnsiTheme="majorHAnsi" w:cstheme="majorHAnsi"/>
        </w:rPr>
        <w:t xml:space="preserve">Participace na Národní </w:t>
      </w:r>
      <w:r w:rsidR="00B9006B" w:rsidRPr="00AC06B1">
        <w:rPr>
          <w:rFonts w:asciiTheme="majorHAnsi" w:hAnsiTheme="majorHAnsi" w:cstheme="majorHAnsi"/>
        </w:rPr>
        <w:t>RIS3 strategi</w:t>
      </w:r>
      <w:r>
        <w:rPr>
          <w:rFonts w:asciiTheme="majorHAnsi" w:hAnsiTheme="majorHAnsi" w:cstheme="majorHAnsi"/>
        </w:rPr>
        <w:t>i</w:t>
      </w:r>
      <w:r w:rsidR="00B9006B" w:rsidRPr="00AC06B1">
        <w:rPr>
          <w:rFonts w:asciiTheme="majorHAnsi" w:hAnsiTheme="majorHAnsi" w:cstheme="majorHAnsi"/>
        </w:rPr>
        <w:t xml:space="preserve"> by měla pro </w:t>
      </w:r>
      <w:r w:rsidR="00B9006B">
        <w:rPr>
          <w:rFonts w:asciiTheme="majorHAnsi" w:hAnsiTheme="majorHAnsi" w:cstheme="majorHAnsi"/>
        </w:rPr>
        <w:t>krajskou</w:t>
      </w:r>
      <w:r w:rsidR="00B9006B" w:rsidRPr="00AC06B1">
        <w:rPr>
          <w:rFonts w:asciiTheme="majorHAnsi" w:hAnsiTheme="majorHAnsi" w:cstheme="majorHAnsi"/>
        </w:rPr>
        <w:t xml:space="preserve"> specializaci „objevit procesem EDP“ oblast, která má </w:t>
      </w:r>
      <w:r w:rsidR="00B9006B">
        <w:rPr>
          <w:rFonts w:asciiTheme="majorHAnsi" w:hAnsiTheme="majorHAnsi" w:cstheme="majorHAnsi"/>
        </w:rPr>
        <w:t xml:space="preserve">nejen </w:t>
      </w:r>
      <w:r w:rsidR="00B9006B" w:rsidRPr="00AC06B1">
        <w:rPr>
          <w:rFonts w:asciiTheme="majorHAnsi" w:hAnsiTheme="majorHAnsi" w:cstheme="majorHAnsi"/>
        </w:rPr>
        <w:t>odborné zázemí</w:t>
      </w:r>
      <w:r w:rsidR="00B9006B">
        <w:rPr>
          <w:rFonts w:asciiTheme="majorHAnsi" w:hAnsiTheme="majorHAnsi" w:cstheme="majorHAnsi"/>
        </w:rPr>
        <w:t xml:space="preserve"> a</w:t>
      </w:r>
      <w:r w:rsidR="00B9006B" w:rsidRPr="00AC06B1">
        <w:rPr>
          <w:rFonts w:asciiTheme="majorHAnsi" w:hAnsiTheme="majorHAnsi" w:cstheme="majorHAnsi"/>
        </w:rPr>
        <w:t xml:space="preserve"> disponibilní lokální lidské i materiální zdroje</w:t>
      </w:r>
      <w:r w:rsidR="00B9006B">
        <w:rPr>
          <w:rFonts w:asciiTheme="majorHAnsi" w:hAnsiTheme="majorHAnsi" w:cstheme="majorHAnsi"/>
        </w:rPr>
        <w:t xml:space="preserve"> ve vědeckovýzkumné základně, ale díky aplikačním odvětvím schopným absorbovat výsledky vědy a</w:t>
      </w:r>
      <w:r w:rsidR="00D351CD">
        <w:rPr>
          <w:rFonts w:asciiTheme="majorHAnsi" w:hAnsiTheme="majorHAnsi" w:cstheme="majorHAnsi"/>
        </w:rPr>
        <w:t> </w:t>
      </w:r>
      <w:r w:rsidR="00B9006B">
        <w:rPr>
          <w:rFonts w:asciiTheme="majorHAnsi" w:hAnsiTheme="majorHAnsi" w:cstheme="majorHAnsi"/>
        </w:rPr>
        <w:t>výzkumu</w:t>
      </w:r>
      <w:r w:rsidR="00B9006B" w:rsidRPr="00AC06B1">
        <w:rPr>
          <w:rFonts w:asciiTheme="majorHAnsi" w:hAnsiTheme="majorHAnsi" w:cstheme="majorHAnsi"/>
        </w:rPr>
        <w:t xml:space="preserve"> má perspektivu stát se konkurenceschopn</w:t>
      </w:r>
      <w:r>
        <w:rPr>
          <w:rFonts w:asciiTheme="majorHAnsi" w:hAnsiTheme="majorHAnsi" w:cstheme="majorHAnsi"/>
        </w:rPr>
        <w:t>ou součástí</w:t>
      </w:r>
      <w:r w:rsidR="00B9006B" w:rsidRPr="00AC06B1">
        <w:rPr>
          <w:rFonts w:asciiTheme="majorHAnsi" w:hAnsiTheme="majorHAnsi" w:cstheme="majorHAnsi"/>
        </w:rPr>
        <w:t xml:space="preserve"> hospodářství kraje.</w:t>
      </w:r>
    </w:p>
    <w:p w14:paraId="79DB36AF" w14:textId="77777777" w:rsidR="00B9006B" w:rsidRDefault="00B9006B" w:rsidP="00B9006B">
      <w:pPr>
        <w:spacing w:before="120" w:after="120" w:line="240" w:lineRule="auto"/>
        <w:rPr>
          <w:rFonts w:asciiTheme="majorHAnsi" w:hAnsiTheme="majorHAnsi" w:cstheme="majorHAnsi"/>
        </w:rPr>
      </w:pPr>
      <w:r w:rsidRPr="00AC06B1">
        <w:rPr>
          <w:rFonts w:asciiTheme="majorHAnsi" w:hAnsiTheme="majorHAnsi" w:cstheme="majorHAnsi"/>
        </w:rPr>
        <w:t>Některé kraje disponují kvalitní a na svoji velikost i široce odborně zaměřenou vědeckovýzkumnou základnou. Od ní pak odvoz</w:t>
      </w:r>
      <w:r>
        <w:rPr>
          <w:rFonts w:asciiTheme="majorHAnsi" w:hAnsiTheme="majorHAnsi" w:cstheme="majorHAnsi"/>
        </w:rPr>
        <w:t>ují</w:t>
      </w:r>
      <w:r w:rsidRPr="00AC06B1">
        <w:rPr>
          <w:rFonts w:asciiTheme="majorHAnsi" w:hAnsiTheme="majorHAnsi" w:cstheme="majorHAnsi"/>
        </w:rPr>
        <w:t xml:space="preserve"> i krajské domény specializace. Problémem však je, že spektrum reálně podpořených aplikačních odvětví</w:t>
      </w:r>
      <w:r w:rsidR="00836918">
        <w:rPr>
          <w:rFonts w:asciiTheme="majorHAnsi" w:hAnsiTheme="majorHAnsi" w:cstheme="majorHAnsi"/>
        </w:rPr>
        <w:t xml:space="preserve"> z OP a NPP</w:t>
      </w:r>
      <w:r w:rsidRPr="00AC06B1">
        <w:rPr>
          <w:rFonts w:asciiTheme="majorHAnsi" w:hAnsiTheme="majorHAnsi" w:cstheme="majorHAnsi"/>
        </w:rPr>
        <w:t xml:space="preserve"> je </w:t>
      </w:r>
      <w:r>
        <w:rPr>
          <w:rFonts w:asciiTheme="majorHAnsi" w:hAnsiTheme="majorHAnsi" w:cstheme="majorHAnsi"/>
        </w:rPr>
        <w:t xml:space="preserve">v daném kraji </w:t>
      </w:r>
      <w:r w:rsidRPr="00AC06B1">
        <w:rPr>
          <w:rFonts w:asciiTheme="majorHAnsi" w:hAnsiTheme="majorHAnsi" w:cstheme="majorHAnsi"/>
        </w:rPr>
        <w:t>poněkud odlišné.</w:t>
      </w:r>
    </w:p>
    <w:p w14:paraId="69CDE32A" w14:textId="35765958" w:rsidR="00B9006B" w:rsidRPr="00AC06B1" w:rsidRDefault="00B9006B" w:rsidP="00B9006B">
      <w:pPr>
        <w:spacing w:before="120" w:after="120" w:line="240" w:lineRule="auto"/>
        <w:rPr>
          <w:rFonts w:asciiTheme="majorHAnsi" w:hAnsiTheme="majorHAnsi" w:cstheme="majorHAnsi"/>
        </w:rPr>
      </w:pPr>
      <w:r w:rsidRPr="00AC06B1">
        <w:rPr>
          <w:rFonts w:asciiTheme="majorHAnsi" w:hAnsiTheme="majorHAnsi" w:cstheme="majorHAnsi"/>
        </w:rPr>
        <w:lastRenderedPageBreak/>
        <w:t>Lze předpokládat, že současný trend „podpořit všechny alespoň trochu“ bude překonán a</w:t>
      </w:r>
      <w:r w:rsidR="007C3E99">
        <w:rPr>
          <w:rFonts w:asciiTheme="majorHAnsi" w:hAnsiTheme="majorHAnsi" w:cstheme="majorHAnsi"/>
        </w:rPr>
        <w:t> </w:t>
      </w:r>
      <w:r w:rsidRPr="00AC06B1">
        <w:rPr>
          <w:rFonts w:asciiTheme="majorHAnsi" w:hAnsiTheme="majorHAnsi" w:cstheme="majorHAnsi"/>
        </w:rPr>
        <w:t xml:space="preserve">k optimálnímu směrování výzkumných kapacit a </w:t>
      </w:r>
      <w:r w:rsidR="00836918">
        <w:rPr>
          <w:rFonts w:asciiTheme="majorHAnsi" w:hAnsiTheme="majorHAnsi" w:cstheme="majorHAnsi"/>
        </w:rPr>
        <w:t xml:space="preserve">k cílené </w:t>
      </w:r>
      <w:r w:rsidRPr="00AC06B1">
        <w:rPr>
          <w:rFonts w:asciiTheme="majorHAnsi" w:hAnsiTheme="majorHAnsi" w:cstheme="majorHAnsi"/>
        </w:rPr>
        <w:t>podpo</w:t>
      </w:r>
      <w:r w:rsidR="00836918">
        <w:rPr>
          <w:rFonts w:asciiTheme="majorHAnsi" w:hAnsiTheme="majorHAnsi" w:cstheme="majorHAnsi"/>
        </w:rPr>
        <w:t>ře</w:t>
      </w:r>
      <w:r w:rsidRPr="00AC06B1">
        <w:rPr>
          <w:rFonts w:asciiTheme="majorHAnsi" w:hAnsiTheme="majorHAnsi" w:cstheme="majorHAnsi"/>
        </w:rPr>
        <w:t xml:space="preserve"> inovací by měla přispět právě inteligentní specializace. </w:t>
      </w:r>
    </w:p>
    <w:p w14:paraId="1A90AB63" w14:textId="77777777" w:rsidR="00B9006B" w:rsidRPr="00AC06B1" w:rsidRDefault="00B9006B" w:rsidP="00B9006B">
      <w:pPr>
        <w:spacing w:before="120" w:after="120" w:line="240" w:lineRule="auto"/>
        <w:rPr>
          <w:rFonts w:asciiTheme="majorHAnsi" w:hAnsiTheme="majorHAnsi" w:cstheme="majorHAnsi"/>
        </w:rPr>
      </w:pPr>
      <w:r>
        <w:rPr>
          <w:rFonts w:asciiTheme="majorHAnsi" w:hAnsiTheme="majorHAnsi" w:cstheme="majorHAnsi"/>
        </w:rPr>
        <w:t xml:space="preserve">Mezi podporovanými aplikačními odvětvími </w:t>
      </w:r>
      <w:r w:rsidRPr="00AC06B1">
        <w:rPr>
          <w:rFonts w:asciiTheme="majorHAnsi" w:hAnsiTheme="majorHAnsi" w:cstheme="majorHAnsi"/>
        </w:rPr>
        <w:t xml:space="preserve">je </w:t>
      </w:r>
      <w:r>
        <w:rPr>
          <w:rFonts w:asciiTheme="majorHAnsi" w:hAnsiTheme="majorHAnsi" w:cstheme="majorHAnsi"/>
        </w:rPr>
        <w:t>p</w:t>
      </w:r>
      <w:r w:rsidRPr="00AC06B1">
        <w:rPr>
          <w:rFonts w:asciiTheme="majorHAnsi" w:hAnsiTheme="majorHAnsi" w:cstheme="majorHAnsi"/>
        </w:rPr>
        <w:t>oměrně vysoký podíl aplikačního odvětví  zasahujícího velké množství výrobních oborů a činností - Digitální ekonomika a digitální obsah.</w:t>
      </w:r>
      <w:r>
        <w:rPr>
          <w:rFonts w:asciiTheme="majorHAnsi" w:hAnsiTheme="majorHAnsi" w:cstheme="majorHAnsi"/>
        </w:rPr>
        <w:t xml:space="preserve"> To naznačuje, že specializace regionu </w:t>
      </w:r>
      <w:r w:rsidR="00836918">
        <w:rPr>
          <w:rFonts w:asciiTheme="majorHAnsi" w:hAnsiTheme="majorHAnsi" w:cstheme="majorHAnsi"/>
        </w:rPr>
        <w:t>odvozená pouze od</w:t>
      </w:r>
      <w:r>
        <w:rPr>
          <w:rFonts w:asciiTheme="majorHAnsi" w:hAnsiTheme="majorHAnsi" w:cstheme="majorHAnsi"/>
        </w:rPr>
        <w:t xml:space="preserve"> aplikační</w:t>
      </w:r>
      <w:r w:rsidR="008E674A">
        <w:rPr>
          <w:rFonts w:asciiTheme="majorHAnsi" w:hAnsiTheme="majorHAnsi" w:cstheme="majorHAnsi"/>
        </w:rPr>
        <w:t>ho</w:t>
      </w:r>
      <w:r>
        <w:rPr>
          <w:rFonts w:asciiTheme="majorHAnsi" w:hAnsiTheme="majorHAnsi" w:cstheme="majorHAnsi"/>
        </w:rPr>
        <w:t xml:space="preserve"> odvětví není tou správnou cestou. Na rozdíl od historické specializace jde u inteligentní specializace o efektivní propojení domén znalostní a ekonomické specializace</w:t>
      </w:r>
      <w:r w:rsidR="008E674A">
        <w:rPr>
          <w:rFonts w:asciiTheme="majorHAnsi" w:hAnsiTheme="majorHAnsi" w:cstheme="majorHAnsi"/>
        </w:rPr>
        <w:t xml:space="preserve"> v regionu</w:t>
      </w:r>
      <w:r>
        <w:rPr>
          <w:rFonts w:asciiTheme="majorHAnsi" w:hAnsiTheme="majorHAnsi" w:cstheme="majorHAnsi"/>
        </w:rPr>
        <w:t xml:space="preserve">.  </w:t>
      </w:r>
    </w:p>
    <w:p w14:paraId="3B0BA25F" w14:textId="77777777" w:rsidR="00B9006B" w:rsidRPr="00AC06B1" w:rsidRDefault="00B9006B" w:rsidP="00B9006B">
      <w:pPr>
        <w:spacing w:before="120" w:after="120" w:line="240" w:lineRule="auto"/>
        <w:rPr>
          <w:rFonts w:asciiTheme="majorHAnsi" w:hAnsiTheme="majorHAnsi" w:cstheme="majorHAnsi"/>
        </w:rPr>
      </w:pPr>
      <w:r w:rsidRPr="00AC06B1">
        <w:rPr>
          <w:rFonts w:asciiTheme="majorHAnsi" w:hAnsiTheme="majorHAnsi" w:cstheme="majorHAnsi"/>
        </w:rPr>
        <w:t xml:space="preserve">Cílem </w:t>
      </w:r>
      <w:r w:rsidR="008E674A">
        <w:rPr>
          <w:rFonts w:asciiTheme="majorHAnsi" w:hAnsiTheme="majorHAnsi" w:cstheme="majorHAnsi"/>
        </w:rPr>
        <w:t xml:space="preserve">procesu EDP </w:t>
      </w:r>
      <w:r w:rsidRPr="00AC06B1">
        <w:rPr>
          <w:rFonts w:asciiTheme="majorHAnsi" w:hAnsiTheme="majorHAnsi" w:cstheme="majorHAnsi"/>
        </w:rPr>
        <w:t>je hledat a nalézat takové krajské domény specializace, které přinesou regionu výraznou komparativní výhodu.</w:t>
      </w:r>
      <w:r>
        <w:rPr>
          <w:rFonts w:asciiTheme="majorHAnsi" w:hAnsiTheme="majorHAnsi" w:cstheme="majorHAnsi"/>
        </w:rPr>
        <w:t xml:space="preserve"> Ta ja dána propojením </w:t>
      </w:r>
      <w:r w:rsidRPr="00AC06B1">
        <w:rPr>
          <w:rFonts w:asciiTheme="majorHAnsi" w:hAnsiTheme="majorHAnsi" w:cstheme="majorHAnsi"/>
        </w:rPr>
        <w:t>siln</w:t>
      </w:r>
      <w:r>
        <w:rPr>
          <w:rFonts w:asciiTheme="majorHAnsi" w:hAnsiTheme="majorHAnsi" w:cstheme="majorHAnsi"/>
        </w:rPr>
        <w:t>é</w:t>
      </w:r>
      <w:r w:rsidRPr="00AC06B1">
        <w:rPr>
          <w:rFonts w:asciiTheme="majorHAnsi" w:hAnsiTheme="majorHAnsi" w:cstheme="majorHAnsi"/>
        </w:rPr>
        <w:t xml:space="preserve"> vědeckovýzkumn</w:t>
      </w:r>
      <w:r>
        <w:rPr>
          <w:rFonts w:asciiTheme="majorHAnsi" w:hAnsiTheme="majorHAnsi" w:cstheme="majorHAnsi"/>
        </w:rPr>
        <w:t>é</w:t>
      </w:r>
      <w:r w:rsidRPr="00AC06B1">
        <w:rPr>
          <w:rFonts w:asciiTheme="majorHAnsi" w:hAnsiTheme="majorHAnsi" w:cstheme="majorHAnsi"/>
        </w:rPr>
        <w:t xml:space="preserve"> základn</w:t>
      </w:r>
      <w:r>
        <w:rPr>
          <w:rFonts w:asciiTheme="majorHAnsi" w:hAnsiTheme="majorHAnsi" w:cstheme="majorHAnsi"/>
        </w:rPr>
        <w:t>y</w:t>
      </w:r>
      <w:r w:rsidRPr="00AC06B1">
        <w:rPr>
          <w:rFonts w:asciiTheme="majorHAnsi" w:hAnsiTheme="majorHAnsi" w:cstheme="majorHAnsi"/>
        </w:rPr>
        <w:t xml:space="preserve"> s reálnými výsledky činnosti</w:t>
      </w:r>
      <w:r>
        <w:rPr>
          <w:rFonts w:asciiTheme="majorHAnsi" w:hAnsiTheme="majorHAnsi" w:cstheme="majorHAnsi"/>
        </w:rPr>
        <w:t xml:space="preserve"> a aplikačních odvětví, která jsou schopna</w:t>
      </w:r>
      <w:r w:rsidRPr="00AC06B1">
        <w:rPr>
          <w:rFonts w:asciiTheme="majorHAnsi" w:hAnsiTheme="majorHAnsi" w:cstheme="majorHAnsi"/>
        </w:rPr>
        <w:t xml:space="preserve"> vědeckotechnické poznatky uplatnit při inovacích </w:t>
      </w:r>
      <w:r>
        <w:rPr>
          <w:rFonts w:asciiTheme="majorHAnsi" w:hAnsiTheme="majorHAnsi" w:cstheme="majorHAnsi"/>
        </w:rPr>
        <w:t xml:space="preserve">své </w:t>
      </w:r>
      <w:r w:rsidRPr="00AC06B1">
        <w:rPr>
          <w:rFonts w:asciiTheme="majorHAnsi" w:hAnsiTheme="majorHAnsi" w:cstheme="majorHAnsi"/>
        </w:rPr>
        <w:t>produkce.</w:t>
      </w:r>
      <w:r w:rsidRPr="00F422E6">
        <w:rPr>
          <w:rFonts w:asciiTheme="majorHAnsi" w:hAnsiTheme="majorHAnsi" w:cstheme="majorHAnsi"/>
        </w:rPr>
        <w:t xml:space="preserve"> </w:t>
      </w:r>
      <w:r w:rsidRPr="00AC06B1">
        <w:rPr>
          <w:rFonts w:asciiTheme="majorHAnsi" w:hAnsiTheme="majorHAnsi" w:cstheme="majorHAnsi"/>
        </w:rPr>
        <w:t>Právě vazbu mezi výzkumem a vývojem na jedné straně a aplikačním odvětvím na druhé straně by měly odrážet krajské domény specializace.</w:t>
      </w:r>
      <w:r w:rsidRPr="00F422E6">
        <w:rPr>
          <w:rFonts w:asciiTheme="majorHAnsi" w:hAnsiTheme="majorHAnsi" w:cstheme="majorHAnsi"/>
        </w:rPr>
        <w:t xml:space="preserve"> </w:t>
      </w:r>
      <w:r>
        <w:rPr>
          <w:rFonts w:asciiTheme="majorHAnsi" w:hAnsiTheme="majorHAnsi" w:cstheme="majorHAnsi"/>
        </w:rPr>
        <w:t xml:space="preserve">Dosud </w:t>
      </w:r>
      <w:r w:rsidRPr="00AC06B1">
        <w:rPr>
          <w:rFonts w:asciiTheme="majorHAnsi" w:hAnsiTheme="majorHAnsi" w:cstheme="majorHAnsi"/>
        </w:rPr>
        <w:t>však</w:t>
      </w:r>
      <w:r>
        <w:rPr>
          <w:rFonts w:asciiTheme="majorHAnsi" w:hAnsiTheme="majorHAnsi" w:cstheme="majorHAnsi"/>
        </w:rPr>
        <w:t xml:space="preserve"> t</w:t>
      </w:r>
      <w:r w:rsidRPr="00AC06B1">
        <w:rPr>
          <w:rFonts w:asciiTheme="majorHAnsi" w:hAnsiTheme="majorHAnsi" w:cstheme="majorHAnsi"/>
        </w:rPr>
        <w:t>akové výsledky EDP procesu v kraj</w:t>
      </w:r>
      <w:r>
        <w:rPr>
          <w:rFonts w:asciiTheme="majorHAnsi" w:hAnsiTheme="majorHAnsi" w:cstheme="majorHAnsi"/>
        </w:rPr>
        <w:t>ích</w:t>
      </w:r>
      <w:r w:rsidRPr="00AC06B1">
        <w:rPr>
          <w:rFonts w:asciiTheme="majorHAnsi" w:hAnsiTheme="majorHAnsi" w:cstheme="majorHAnsi"/>
        </w:rPr>
        <w:t xml:space="preserve"> nejsou dostatečně zřetelné.</w:t>
      </w:r>
    </w:p>
    <w:p w14:paraId="4860F333" w14:textId="77777777" w:rsidR="00E3290F" w:rsidRDefault="004174AC" w:rsidP="006E003D">
      <w:pPr>
        <w:rPr>
          <w:lang w:bidi="ar-SA"/>
        </w:rPr>
      </w:pPr>
      <w:r>
        <w:rPr>
          <w:lang w:bidi="ar-SA"/>
        </w:rPr>
        <w:t xml:space="preserve">Přehled stavu a úrovně </w:t>
      </w:r>
      <w:r w:rsidR="00246ECF">
        <w:rPr>
          <w:lang w:bidi="ar-SA"/>
        </w:rPr>
        <w:t>krajských příloh vyplývá z</w:t>
      </w:r>
      <w:r w:rsidR="003E4711">
        <w:rPr>
          <w:lang w:bidi="ar-SA"/>
        </w:rPr>
        <w:t> Přílohy Závěrečné evaluační zprávy</w:t>
      </w:r>
      <w:r w:rsidR="003B49F5">
        <w:rPr>
          <w:lang w:bidi="ar-SA"/>
        </w:rPr>
        <w:t xml:space="preserve"> č. 7</w:t>
      </w:r>
      <w:r w:rsidR="003E4711">
        <w:rPr>
          <w:lang w:bidi="ar-SA"/>
        </w:rPr>
        <w:t>.</w:t>
      </w:r>
    </w:p>
    <w:p w14:paraId="4A5EB974" w14:textId="77777777" w:rsidR="00975B0C" w:rsidRDefault="00975B0C" w:rsidP="00975B0C">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bookmarkStart w:id="97" w:name="_Toc5626474"/>
      <w:r>
        <w:rPr>
          <w:rFonts w:asciiTheme="majorHAnsi" w:eastAsiaTheme="majorEastAsia" w:hAnsiTheme="majorHAnsi" w:cstheme="majorHAnsi"/>
          <w:i/>
          <w:caps/>
          <w:color w:val="004B8D"/>
          <w:spacing w:val="0"/>
          <w:sz w:val="22"/>
          <w:lang w:bidi="ar-SA"/>
        </w:rPr>
        <w:t>dílčí závěry k evaluačnímu okruhu III.</w:t>
      </w:r>
      <w:bookmarkEnd w:id="97"/>
      <w:r>
        <w:rPr>
          <w:rFonts w:asciiTheme="majorHAnsi" w:eastAsiaTheme="majorEastAsia" w:hAnsiTheme="majorHAnsi" w:cstheme="majorHAnsi"/>
          <w:i/>
          <w:caps/>
          <w:color w:val="004B8D"/>
          <w:spacing w:val="0"/>
          <w:sz w:val="22"/>
          <w:lang w:bidi="ar-SA"/>
        </w:rPr>
        <w:t xml:space="preserve"> </w:t>
      </w:r>
    </w:p>
    <w:p w14:paraId="2EFD6D62" w14:textId="77777777" w:rsidR="00975B0C" w:rsidRDefault="00975B0C" w:rsidP="00975B0C">
      <w:pPr>
        <w:pBdr>
          <w:top w:val="single" w:sz="4" w:space="1" w:color="auto"/>
          <w:left w:val="single" w:sz="4" w:space="4" w:color="auto"/>
          <w:bottom w:val="single" w:sz="4" w:space="1" w:color="auto"/>
          <w:right w:val="single" w:sz="4" w:space="4" w:color="auto"/>
        </w:pBdr>
        <w:shd w:val="clear" w:color="auto" w:fill="D9D9D9" w:themeFill="background1" w:themeFillShade="D9"/>
        <w:rPr>
          <w:lang w:bidi="ar-SA"/>
        </w:rPr>
      </w:pPr>
      <w:r>
        <w:rPr>
          <w:lang w:bidi="ar-SA"/>
        </w:rPr>
        <w:t>Všechny kraje se aktivně zapojily do realizace Národní RIS3 strategie, a to prostřednictvím svých krajských RIS3 příloh</w:t>
      </w:r>
      <w:r w:rsidR="00F91B61">
        <w:rPr>
          <w:lang w:bidi="ar-SA"/>
        </w:rPr>
        <w:t>.</w:t>
      </w:r>
      <w:r>
        <w:rPr>
          <w:lang w:bidi="ar-SA"/>
        </w:rPr>
        <w:t xml:space="preserve"> </w:t>
      </w:r>
      <w:r w:rsidRPr="00892C14">
        <w:rPr>
          <w:lang w:bidi="ar-SA"/>
        </w:rPr>
        <w:t xml:space="preserve">  </w:t>
      </w:r>
    </w:p>
    <w:p w14:paraId="4B5A2510" w14:textId="77777777" w:rsidR="00975B0C" w:rsidRDefault="00975B0C" w:rsidP="00975B0C">
      <w:pPr>
        <w:pBdr>
          <w:top w:val="single" w:sz="4" w:space="1" w:color="auto"/>
          <w:left w:val="single" w:sz="4" w:space="4" w:color="auto"/>
          <w:bottom w:val="single" w:sz="4" w:space="1" w:color="auto"/>
          <w:right w:val="single" w:sz="4" w:space="4" w:color="auto"/>
        </w:pBdr>
        <w:shd w:val="clear" w:color="auto" w:fill="D9D9D9" w:themeFill="background1" w:themeFillShade="D9"/>
        <w:rPr>
          <w:lang w:bidi="ar-SA"/>
        </w:rPr>
      </w:pPr>
      <w:r>
        <w:rPr>
          <w:lang w:bidi="ar-SA"/>
        </w:rPr>
        <w:t xml:space="preserve">Organizační zajištění implementace RIS3 strategií je zajišťováno v rámci Krajské rady pro inovace, krajských inovačních platforem a krajského RIS3 manažera a RIS3 koordinátora. V jednotlivých krajích jsou však patrné určité modifikace tohoto uspořádání a to v závislosti na historickém kontextu rozvoje inovačního potenciálu v daném kraji. Na budování kapacit, organizačních struktur a know-how pro rozvoj VaVaI a EDP mohou kraje využívat financování z OP VVV z výzvy Smart Akcelerátor.  </w:t>
      </w:r>
    </w:p>
    <w:p w14:paraId="5C4CB632" w14:textId="2D3DD30C" w:rsidR="00975B0C" w:rsidRDefault="00975B0C" w:rsidP="00975B0C">
      <w:pPr>
        <w:pBdr>
          <w:top w:val="single" w:sz="4" w:space="1" w:color="auto"/>
          <w:left w:val="single" w:sz="4" w:space="4" w:color="auto"/>
          <w:bottom w:val="single" w:sz="4" w:space="1" w:color="auto"/>
          <w:right w:val="single" w:sz="4" w:space="4" w:color="auto"/>
        </w:pBdr>
        <w:shd w:val="clear" w:color="auto" w:fill="D9D9D9" w:themeFill="background1" w:themeFillShade="D9"/>
        <w:rPr>
          <w:lang w:bidi="ar-SA"/>
        </w:rPr>
      </w:pPr>
      <w:r>
        <w:rPr>
          <w:lang w:bidi="ar-SA"/>
        </w:rPr>
        <w:t xml:space="preserve">Stejně jako národní úroveň, i ta krajská vnímá </w:t>
      </w:r>
      <w:r w:rsidRPr="00EB7268">
        <w:rPr>
          <w:b/>
          <w:lang w:bidi="ar-SA"/>
        </w:rPr>
        <w:t>slabé stránky</w:t>
      </w:r>
      <w:r>
        <w:rPr>
          <w:lang w:bidi="ar-SA"/>
        </w:rPr>
        <w:t>, které jsou s realizací RIS3 strategi</w:t>
      </w:r>
      <w:r w:rsidR="00F91B61">
        <w:rPr>
          <w:lang w:bidi="ar-SA"/>
        </w:rPr>
        <w:t>í</w:t>
      </w:r>
      <w:r>
        <w:rPr>
          <w:lang w:bidi="ar-SA"/>
        </w:rPr>
        <w:t xml:space="preserve"> spojeny. Jedná se zejména o </w:t>
      </w:r>
      <w:r w:rsidRPr="00EB7268">
        <w:rPr>
          <w:b/>
          <w:lang w:bidi="ar-SA"/>
        </w:rPr>
        <w:t>nedostatečnou politickou podporu</w:t>
      </w:r>
      <w:r>
        <w:rPr>
          <w:lang w:bidi="ar-SA"/>
        </w:rPr>
        <w:t xml:space="preserve"> konceptu RIS3 strategií a </w:t>
      </w:r>
      <w:r w:rsidR="00F91B61">
        <w:rPr>
          <w:lang w:bidi="ar-SA"/>
        </w:rPr>
        <w:t xml:space="preserve">ne vždy zcela </w:t>
      </w:r>
      <w:r w:rsidRPr="00EB7268">
        <w:rPr>
          <w:b/>
          <w:lang w:bidi="ar-SA"/>
        </w:rPr>
        <w:t>jasnou viz</w:t>
      </w:r>
      <w:r w:rsidR="00F91B61">
        <w:rPr>
          <w:b/>
          <w:lang w:bidi="ar-SA"/>
        </w:rPr>
        <w:t>í</w:t>
      </w:r>
      <w:r>
        <w:rPr>
          <w:lang w:bidi="ar-SA"/>
        </w:rPr>
        <w:t xml:space="preserve"> strategie, což se odráží </w:t>
      </w:r>
      <w:r w:rsidRPr="00EB7268">
        <w:rPr>
          <w:b/>
          <w:lang w:bidi="ar-SA"/>
        </w:rPr>
        <w:t>v nezájmu</w:t>
      </w:r>
      <w:r>
        <w:rPr>
          <w:lang w:bidi="ar-SA"/>
        </w:rPr>
        <w:t xml:space="preserve"> potencionálních stakeholderů o zapojení do EDP procesu. K tomu přispívá i </w:t>
      </w:r>
      <w:r w:rsidR="00937A3E">
        <w:rPr>
          <w:b/>
          <w:lang w:bidi="ar-SA"/>
        </w:rPr>
        <w:t xml:space="preserve">nižší </w:t>
      </w:r>
      <w:r w:rsidR="00F91B61">
        <w:rPr>
          <w:b/>
          <w:lang w:bidi="ar-SA"/>
        </w:rPr>
        <w:t>míra</w:t>
      </w:r>
      <w:r w:rsidR="00F91B61" w:rsidRPr="00EB7268">
        <w:rPr>
          <w:b/>
          <w:lang w:bidi="ar-SA"/>
        </w:rPr>
        <w:t xml:space="preserve"> </w:t>
      </w:r>
      <w:r w:rsidR="00937A3E">
        <w:rPr>
          <w:b/>
          <w:lang w:bidi="ar-SA"/>
        </w:rPr>
        <w:t>metodického vedení</w:t>
      </w:r>
      <w:r w:rsidR="00937A3E">
        <w:rPr>
          <w:lang w:bidi="ar-SA"/>
        </w:rPr>
        <w:t xml:space="preserve"> </w:t>
      </w:r>
      <w:r>
        <w:rPr>
          <w:lang w:bidi="ar-SA"/>
        </w:rPr>
        <w:t>mezi národní a krajskou úrovní a</w:t>
      </w:r>
      <w:r w:rsidR="00AC30EA">
        <w:rPr>
          <w:lang w:bidi="ar-SA"/>
        </w:rPr>
        <w:t> </w:t>
      </w:r>
      <w:r w:rsidRPr="00EB7268">
        <w:rPr>
          <w:b/>
          <w:lang w:bidi="ar-SA"/>
        </w:rPr>
        <w:t xml:space="preserve">nejasný mechanizmus </w:t>
      </w:r>
      <w:r>
        <w:rPr>
          <w:lang w:bidi="ar-SA"/>
        </w:rPr>
        <w:t xml:space="preserve">přenosu a promítnutí výsledků EDP do politik a dotačních programů.  </w:t>
      </w:r>
    </w:p>
    <w:p w14:paraId="05F67EC6" w14:textId="763D7A20" w:rsidR="00975B0C" w:rsidRPr="00892C14" w:rsidRDefault="003B49F5" w:rsidP="00975B0C">
      <w:pPr>
        <w:pBdr>
          <w:top w:val="single" w:sz="4" w:space="1" w:color="auto"/>
          <w:left w:val="single" w:sz="4" w:space="4" w:color="auto"/>
          <w:bottom w:val="single" w:sz="4" w:space="1" w:color="auto"/>
          <w:right w:val="single" w:sz="4" w:space="4" w:color="auto"/>
        </w:pBdr>
        <w:shd w:val="clear" w:color="auto" w:fill="D9D9D9" w:themeFill="background1" w:themeFillShade="D9"/>
        <w:rPr>
          <w:lang w:bidi="ar-SA"/>
        </w:rPr>
      </w:pPr>
      <w:r w:rsidRPr="003B49F5">
        <w:rPr>
          <w:lang w:bidi="ar-SA"/>
        </w:rPr>
        <w:t xml:space="preserve">V následujícím období tvorby Národní RIS3 strategie </w:t>
      </w:r>
      <w:r w:rsidR="004E4F2C">
        <w:rPr>
          <w:lang w:bidi="ar-SA"/>
        </w:rPr>
        <w:t xml:space="preserve">2021+ </w:t>
      </w:r>
      <w:r w:rsidRPr="003B49F5">
        <w:rPr>
          <w:lang w:bidi="ar-SA"/>
        </w:rPr>
        <w:t xml:space="preserve">by bylo vhodné dosavadní práci regionů na Krajských RIS3 strategiích přesněji nasměrovat. Proces </w:t>
      </w:r>
      <w:r>
        <w:rPr>
          <w:lang w:bidi="ar-SA"/>
        </w:rPr>
        <w:t xml:space="preserve">EDP </w:t>
      </w:r>
      <w:r w:rsidRPr="003B49F5">
        <w:rPr>
          <w:lang w:bidi="ar-SA"/>
        </w:rPr>
        <w:t xml:space="preserve">by měl dále pokračovat a dále hledat a odhalovat ty oblasti </w:t>
      </w:r>
      <w:r>
        <w:rPr>
          <w:lang w:bidi="ar-SA"/>
        </w:rPr>
        <w:t xml:space="preserve">krajské </w:t>
      </w:r>
      <w:r w:rsidRPr="003B49F5">
        <w:rPr>
          <w:lang w:bidi="ar-SA"/>
        </w:rPr>
        <w:t>specializace, kde se potenciál vědecko-výzkumné základny</w:t>
      </w:r>
      <w:r>
        <w:rPr>
          <w:lang w:bidi="ar-SA"/>
        </w:rPr>
        <w:t xml:space="preserve"> kraje</w:t>
      </w:r>
      <w:r w:rsidRPr="003B49F5">
        <w:rPr>
          <w:lang w:bidi="ar-SA"/>
        </w:rPr>
        <w:t xml:space="preserve"> a podnikatelsk</w:t>
      </w:r>
      <w:r w:rsidR="005D1225">
        <w:rPr>
          <w:lang w:bidi="ar-SA"/>
        </w:rPr>
        <w:t>é</w:t>
      </w:r>
      <w:r w:rsidRPr="003B49F5">
        <w:rPr>
          <w:lang w:bidi="ar-SA"/>
        </w:rPr>
        <w:t xml:space="preserve"> sfér</w:t>
      </w:r>
      <w:r w:rsidR="005D1225">
        <w:rPr>
          <w:lang w:bidi="ar-SA"/>
        </w:rPr>
        <w:t>y</w:t>
      </w:r>
      <w:r w:rsidRPr="003B49F5">
        <w:rPr>
          <w:lang w:bidi="ar-SA"/>
        </w:rPr>
        <w:t xml:space="preserve"> realizující její výsledky protnou s největší mírou přidané hodnoty</w:t>
      </w:r>
      <w:r w:rsidR="005D1225">
        <w:rPr>
          <w:lang w:bidi="ar-SA"/>
        </w:rPr>
        <w:t xml:space="preserve"> a to by mělo vést k vyšší míře vertikalizace, neboli zacílení</w:t>
      </w:r>
      <w:r w:rsidRPr="003B49F5">
        <w:rPr>
          <w:lang w:bidi="ar-SA"/>
        </w:rPr>
        <w:t>.</w:t>
      </w:r>
    </w:p>
    <w:p w14:paraId="3034B38B" w14:textId="77777777" w:rsidR="00AC30EA" w:rsidRDefault="00AC30EA">
      <w:pPr>
        <w:spacing w:before="0" w:after="0" w:line="240" w:lineRule="auto"/>
        <w:jc w:val="left"/>
        <w:rPr>
          <w:rFonts w:asciiTheme="majorHAnsi" w:eastAsiaTheme="majorEastAsia" w:hAnsiTheme="majorHAnsi" w:cstheme="majorBidi"/>
          <w:b/>
          <w:bCs/>
          <w:color w:val="004B8D"/>
          <w:spacing w:val="0"/>
          <w:sz w:val="32"/>
          <w:szCs w:val="32"/>
          <w:lang w:bidi="ar-SA"/>
        </w:rPr>
      </w:pPr>
      <w:bookmarkStart w:id="98" w:name="_Toc5626475"/>
      <w:r>
        <w:rPr>
          <w:rFonts w:asciiTheme="majorHAnsi" w:eastAsiaTheme="majorEastAsia" w:hAnsiTheme="majorHAnsi" w:cstheme="majorBidi"/>
          <w:color w:val="004B8D"/>
          <w:spacing w:val="0"/>
          <w:sz w:val="32"/>
          <w:szCs w:val="32"/>
          <w:lang w:bidi="ar-SA"/>
        </w:rPr>
        <w:br w:type="page"/>
      </w:r>
    </w:p>
    <w:p w14:paraId="5C6A26E7" w14:textId="37D63825" w:rsidR="0078648F" w:rsidRDefault="006107DB" w:rsidP="00246ECF">
      <w:pPr>
        <w:pStyle w:val="Nadpis1"/>
        <w:numPr>
          <w:ilvl w:val="0"/>
          <w:numId w:val="0"/>
        </w:numPr>
        <w:pBdr>
          <w:top w:val="none" w:sz="0" w:space="0" w:color="auto"/>
          <w:left w:val="none" w:sz="0" w:space="0" w:color="auto"/>
        </w:pBdr>
        <w:rPr>
          <w:rFonts w:asciiTheme="majorHAnsi" w:eastAsiaTheme="majorEastAsia" w:hAnsiTheme="majorHAnsi" w:cstheme="majorBidi"/>
          <w:color w:val="004B8D"/>
          <w:spacing w:val="0"/>
          <w:sz w:val="32"/>
          <w:szCs w:val="32"/>
          <w:lang w:bidi="ar-SA"/>
        </w:rPr>
      </w:pPr>
      <w:r>
        <w:rPr>
          <w:rFonts w:asciiTheme="majorHAnsi" w:eastAsiaTheme="majorEastAsia" w:hAnsiTheme="majorHAnsi" w:cstheme="majorBidi"/>
          <w:color w:val="004B8D"/>
          <w:spacing w:val="0"/>
          <w:sz w:val="32"/>
          <w:szCs w:val="32"/>
          <w:lang w:bidi="ar-SA"/>
        </w:rPr>
        <w:lastRenderedPageBreak/>
        <w:t>6</w:t>
      </w:r>
      <w:r w:rsidR="0078648F" w:rsidRPr="0078648F">
        <w:rPr>
          <w:rFonts w:asciiTheme="majorHAnsi" w:eastAsiaTheme="majorEastAsia" w:hAnsiTheme="majorHAnsi" w:cstheme="majorBidi"/>
          <w:color w:val="004B8D"/>
          <w:spacing w:val="0"/>
          <w:sz w:val="32"/>
          <w:szCs w:val="32"/>
          <w:lang w:bidi="ar-SA"/>
        </w:rPr>
        <w:t>. Evaluační okruh IV. - Vyhodnocení fungování systému implementace RIS3</w:t>
      </w:r>
      <w:bookmarkEnd w:id="98"/>
    </w:p>
    <w:p w14:paraId="6F6355DD" w14:textId="77777777" w:rsidR="00BC48D1" w:rsidRPr="0026329C" w:rsidRDefault="00BC48D1" w:rsidP="00BC48D1">
      <w:r w:rsidRPr="0026329C">
        <w:t xml:space="preserve">Implementační systém </w:t>
      </w:r>
      <w:r w:rsidR="0026329C">
        <w:t xml:space="preserve">Národní RIS3 strategie </w:t>
      </w:r>
      <w:r w:rsidRPr="0026329C">
        <w:t xml:space="preserve">zahrnuje dvě </w:t>
      </w:r>
      <w:r w:rsidR="00594826">
        <w:t xml:space="preserve">základní </w:t>
      </w:r>
      <w:r w:rsidRPr="0026329C">
        <w:t>úrovně: národní a krajskou.</w:t>
      </w:r>
      <w:r w:rsidR="0026329C">
        <w:t xml:space="preserve"> </w:t>
      </w:r>
      <w:r w:rsidRPr="0026329C">
        <w:t xml:space="preserve">Národní (vrcholová) úroveň je tvořena Řídicím výborem RIS3, Národním RIS3 manažerem, mezirezortní analytickou pracovní skupinou a Národními inovačními platformami (NIP). </w:t>
      </w:r>
    </w:p>
    <w:p w14:paraId="50E1F958" w14:textId="77777777" w:rsidR="0026329C" w:rsidRDefault="00BC48D1" w:rsidP="00BC48D1">
      <w:r w:rsidRPr="0026329C">
        <w:t>Krajská úroveň</w:t>
      </w:r>
      <w:r w:rsidR="002D10A1">
        <w:rPr>
          <w:rStyle w:val="Znakapoznpodarou"/>
        </w:rPr>
        <w:footnoteReference w:id="55"/>
      </w:r>
      <w:r w:rsidRPr="0026329C">
        <w:t xml:space="preserve"> je tvořena Krajskými radami pro inovace (řídicí orgány pro RIS3 strategie), krajskými RIS3 koordinátory</w:t>
      </w:r>
      <w:r w:rsidR="0026329C">
        <w:t xml:space="preserve"> a krajskými RIS </w:t>
      </w:r>
      <w:r w:rsidRPr="0026329C">
        <w:t>manažery</w:t>
      </w:r>
      <w:r w:rsidR="0026329C">
        <w:t xml:space="preserve"> a Krajskými inovačními platformami</w:t>
      </w:r>
      <w:r w:rsidRPr="0026329C">
        <w:t xml:space="preserve">. </w:t>
      </w:r>
    </w:p>
    <w:p w14:paraId="08277AC4" w14:textId="77777777" w:rsidR="00BC48D1" w:rsidRDefault="0026329C" w:rsidP="00BC48D1">
      <w:r>
        <w:t xml:space="preserve">Struktura implementace, včetně vzájemných vazeb mezi jednotlivými aktéry je uvedena v následujícím schématu. </w:t>
      </w:r>
    </w:p>
    <w:p w14:paraId="6D9D63DA" w14:textId="77777777" w:rsidR="00594826" w:rsidRDefault="00594826" w:rsidP="00594826">
      <w:pPr>
        <w:spacing w:after="0" w:line="240" w:lineRule="auto"/>
      </w:pPr>
      <w:r w:rsidRPr="004B14F6">
        <w:rPr>
          <w:b/>
        </w:rPr>
        <w:t>Schéma 2</w:t>
      </w:r>
      <w:r w:rsidR="004B14F6">
        <w:rPr>
          <w:b/>
        </w:rPr>
        <w:t xml:space="preserve"> - </w:t>
      </w:r>
      <w:r>
        <w:t>Systém implementace Národní RIS3 strategie</w:t>
      </w:r>
    </w:p>
    <w:p w14:paraId="4A0C9A4E" w14:textId="77777777" w:rsidR="0026329C" w:rsidRDefault="00594826" w:rsidP="00905A9C">
      <w:pPr>
        <w:spacing w:after="0" w:line="240" w:lineRule="auto"/>
        <w:jc w:val="left"/>
        <w:rPr>
          <w:rFonts w:eastAsiaTheme="majorEastAsia" w:cs="Calibri"/>
          <w:bCs/>
          <w:spacing w:val="0"/>
          <w:sz w:val="18"/>
          <w:szCs w:val="18"/>
          <w:lang w:bidi="ar-SA"/>
        </w:rPr>
      </w:pPr>
      <w:r w:rsidRPr="00594826">
        <w:rPr>
          <w:noProof/>
          <w:lang w:eastAsia="cs-CZ" w:bidi="ar-SA"/>
        </w:rPr>
        <w:drawing>
          <wp:inline distT="0" distB="0" distL="0" distR="0" wp14:anchorId="0538655F" wp14:editId="5F95A029">
            <wp:extent cx="5713840" cy="4010064"/>
            <wp:effectExtent l="19050" t="0" r="1160" b="0"/>
            <wp:docPr id="54"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1"/>
                    <a:srcRect l="369" t="524" r="369" b="524"/>
                    <a:stretch>
                      <a:fillRect/>
                    </a:stretch>
                  </pic:blipFill>
                  <pic:spPr bwMode="auto">
                    <a:xfrm>
                      <a:off x="0" y="0"/>
                      <a:ext cx="5713840" cy="4010064"/>
                    </a:xfrm>
                    <a:prstGeom prst="rect">
                      <a:avLst/>
                    </a:prstGeom>
                    <a:noFill/>
                    <a:ln w="9525">
                      <a:noFill/>
                      <a:miter lim="800000"/>
                      <a:headEnd/>
                      <a:tailEnd/>
                    </a:ln>
                  </pic:spPr>
                </pic:pic>
              </a:graphicData>
            </a:graphic>
          </wp:inline>
        </w:drawing>
      </w:r>
      <w:r w:rsidRPr="00594826">
        <w:rPr>
          <w:rFonts w:eastAsiaTheme="majorEastAsia" w:cs="Calibri"/>
          <w:bCs/>
          <w:spacing w:val="0"/>
          <w:sz w:val="18"/>
          <w:szCs w:val="18"/>
          <w:lang w:bidi="ar-SA"/>
        </w:rPr>
        <w:t>Zdroj: převzato z Národní RIS3 strategie, 2018.</w:t>
      </w:r>
    </w:p>
    <w:p w14:paraId="608882C4" w14:textId="77777777" w:rsidR="00905A9C" w:rsidRPr="00594826" w:rsidRDefault="00905A9C" w:rsidP="00905A9C">
      <w:pPr>
        <w:spacing w:before="0" w:line="240" w:lineRule="auto"/>
        <w:jc w:val="left"/>
        <w:rPr>
          <w:rFonts w:eastAsiaTheme="majorEastAsia" w:cs="Calibri"/>
          <w:bCs/>
          <w:spacing w:val="0"/>
          <w:sz w:val="18"/>
          <w:szCs w:val="18"/>
          <w:lang w:bidi="ar-SA"/>
        </w:rPr>
      </w:pPr>
      <w:r>
        <w:rPr>
          <w:rFonts w:eastAsiaTheme="majorEastAsia" w:cs="Calibri"/>
          <w:bCs/>
          <w:spacing w:val="0"/>
          <w:sz w:val="18"/>
          <w:szCs w:val="18"/>
          <w:lang w:bidi="ar-SA"/>
        </w:rPr>
        <w:t>Poznámka: Uvedené schéma obsahuje rozšířený výčet národních programů podpory vztahující se k 31. 12. 2018. Evaluace pracuje pouze s</w:t>
      </w:r>
      <w:r w:rsidR="00F92C94">
        <w:rPr>
          <w:rFonts w:eastAsiaTheme="majorEastAsia" w:cs="Calibri"/>
          <w:bCs/>
          <w:spacing w:val="0"/>
          <w:sz w:val="18"/>
          <w:szCs w:val="18"/>
          <w:lang w:bidi="ar-SA"/>
        </w:rPr>
        <w:t xml:space="preserve"> národními </w:t>
      </w:r>
      <w:r>
        <w:rPr>
          <w:rFonts w:eastAsiaTheme="majorEastAsia" w:cs="Calibri"/>
          <w:bCs/>
          <w:spacing w:val="0"/>
          <w:sz w:val="18"/>
          <w:szCs w:val="18"/>
          <w:lang w:bidi="ar-SA"/>
        </w:rPr>
        <w:t>programy</w:t>
      </w:r>
      <w:r w:rsidR="00F92C94">
        <w:rPr>
          <w:rFonts w:eastAsiaTheme="majorEastAsia" w:cs="Calibri"/>
          <w:bCs/>
          <w:spacing w:val="0"/>
          <w:sz w:val="18"/>
          <w:szCs w:val="18"/>
          <w:lang w:bidi="ar-SA"/>
        </w:rPr>
        <w:t xml:space="preserve"> podpory</w:t>
      </w:r>
      <w:r>
        <w:rPr>
          <w:rFonts w:eastAsiaTheme="majorEastAsia" w:cs="Calibri"/>
          <w:bCs/>
          <w:spacing w:val="0"/>
          <w:sz w:val="18"/>
          <w:szCs w:val="18"/>
          <w:lang w:bidi="ar-SA"/>
        </w:rPr>
        <w:t xml:space="preserve"> TA ČR: Gama, Epsilon a Centra kompetence programem MPO: TRIO   </w:t>
      </w:r>
    </w:p>
    <w:p w14:paraId="700D90A3" w14:textId="77777777" w:rsidR="00594826" w:rsidRDefault="00594826" w:rsidP="00246ECF">
      <w:pPr>
        <w:pStyle w:val="Nadpis2"/>
        <w:keepNext/>
        <w:keepLines/>
        <w:numPr>
          <w:ilvl w:val="0"/>
          <w:numId w:val="0"/>
        </w:numPr>
        <w:pBdr>
          <w:top w:val="none" w:sz="0" w:space="0" w:color="auto"/>
          <w:left w:val="none" w:sz="0" w:space="0" w:color="auto"/>
        </w:pBdr>
        <w:shd w:val="clear" w:color="auto" w:fill="auto"/>
        <w:spacing w:before="200" w:after="0"/>
        <w:rPr>
          <w:rFonts w:asciiTheme="majorHAnsi" w:eastAsiaTheme="majorEastAsia" w:hAnsiTheme="majorHAnsi" w:cstheme="majorBidi"/>
          <w:bCs/>
          <w:color w:val="004B8D"/>
          <w:spacing w:val="0"/>
          <w:szCs w:val="26"/>
          <w:lang w:bidi="ar-SA"/>
        </w:rPr>
      </w:pPr>
    </w:p>
    <w:p w14:paraId="5372AB95" w14:textId="77777777" w:rsidR="00594826" w:rsidRDefault="00594826">
      <w:pPr>
        <w:spacing w:before="0" w:after="0" w:line="240" w:lineRule="auto"/>
        <w:jc w:val="left"/>
        <w:rPr>
          <w:rFonts w:asciiTheme="majorHAnsi" w:eastAsiaTheme="majorEastAsia" w:hAnsiTheme="majorHAnsi" w:cstheme="majorBidi"/>
          <w:b/>
          <w:bCs/>
          <w:color w:val="004B8D"/>
          <w:spacing w:val="0"/>
          <w:sz w:val="26"/>
          <w:szCs w:val="26"/>
          <w:lang w:bidi="ar-SA"/>
        </w:rPr>
      </w:pPr>
      <w:r>
        <w:rPr>
          <w:rFonts w:asciiTheme="majorHAnsi" w:eastAsiaTheme="majorEastAsia" w:hAnsiTheme="majorHAnsi" w:cstheme="majorBidi"/>
          <w:bCs/>
          <w:color w:val="004B8D"/>
          <w:spacing w:val="0"/>
          <w:szCs w:val="26"/>
          <w:lang w:bidi="ar-SA"/>
        </w:rPr>
        <w:br w:type="page"/>
      </w:r>
    </w:p>
    <w:p w14:paraId="712D6265" w14:textId="77777777" w:rsidR="00BC48D1" w:rsidRPr="00BC48D1" w:rsidRDefault="006107DB" w:rsidP="00246ECF">
      <w:pPr>
        <w:pStyle w:val="Nadpis2"/>
        <w:keepNext/>
        <w:keepLines/>
        <w:numPr>
          <w:ilvl w:val="0"/>
          <w:numId w:val="0"/>
        </w:numPr>
        <w:pBdr>
          <w:top w:val="none" w:sz="0" w:space="0" w:color="auto"/>
          <w:left w:val="none" w:sz="0" w:space="0" w:color="auto"/>
        </w:pBdr>
        <w:shd w:val="clear" w:color="auto" w:fill="auto"/>
        <w:spacing w:before="200" w:after="0"/>
        <w:rPr>
          <w:rFonts w:asciiTheme="majorHAnsi" w:eastAsiaTheme="majorEastAsia" w:hAnsiTheme="majorHAnsi" w:cstheme="majorBidi"/>
          <w:bCs/>
          <w:color w:val="004B8D"/>
          <w:spacing w:val="0"/>
          <w:szCs w:val="26"/>
          <w:lang w:bidi="ar-SA"/>
        </w:rPr>
      </w:pPr>
      <w:bookmarkStart w:id="99" w:name="_Toc5626476"/>
      <w:r>
        <w:rPr>
          <w:rFonts w:asciiTheme="majorHAnsi" w:eastAsiaTheme="majorEastAsia" w:hAnsiTheme="majorHAnsi" w:cstheme="majorBidi"/>
          <w:bCs/>
          <w:color w:val="004B8D"/>
          <w:spacing w:val="0"/>
          <w:szCs w:val="26"/>
          <w:lang w:bidi="ar-SA"/>
        </w:rPr>
        <w:lastRenderedPageBreak/>
        <w:t>6</w:t>
      </w:r>
      <w:r w:rsidR="00BC48D1" w:rsidRPr="00BC48D1">
        <w:rPr>
          <w:rFonts w:asciiTheme="majorHAnsi" w:eastAsiaTheme="majorEastAsia" w:hAnsiTheme="majorHAnsi" w:cstheme="majorBidi"/>
          <w:bCs/>
          <w:color w:val="004B8D"/>
          <w:spacing w:val="0"/>
          <w:szCs w:val="26"/>
          <w:lang w:bidi="ar-SA"/>
        </w:rPr>
        <w:t xml:space="preserve">.1 </w:t>
      </w:r>
      <w:r w:rsidR="00BD7BA9">
        <w:rPr>
          <w:rFonts w:asciiTheme="majorHAnsi" w:eastAsiaTheme="majorEastAsia" w:hAnsiTheme="majorHAnsi" w:cstheme="majorBidi"/>
          <w:bCs/>
          <w:color w:val="004B8D"/>
          <w:spacing w:val="0"/>
          <w:szCs w:val="26"/>
          <w:lang w:bidi="ar-SA"/>
        </w:rPr>
        <w:t>Organizační zajištění implementace Národní RIS3 strategie</w:t>
      </w:r>
      <w:bookmarkEnd w:id="99"/>
    </w:p>
    <w:p w14:paraId="7524B2C7" w14:textId="77777777" w:rsidR="00BC48D1" w:rsidRDefault="00BC48D1">
      <w:pPr>
        <w:spacing w:before="0" w:after="0" w:line="240" w:lineRule="auto"/>
        <w:jc w:val="left"/>
      </w:pPr>
    </w:p>
    <w:p w14:paraId="1BEB6053" w14:textId="77777777" w:rsidR="00E90E13" w:rsidRDefault="00E90E13" w:rsidP="00E90E13">
      <w:pPr>
        <w:rPr>
          <w:lang w:bidi="ar-SA"/>
        </w:rPr>
      </w:pPr>
      <w:r>
        <w:rPr>
          <w:lang w:bidi="ar-SA"/>
        </w:rPr>
        <w:t xml:space="preserve">Přípravou Národní RIS3 strategie bylo původně pověřeno </w:t>
      </w:r>
      <w:r w:rsidRPr="009A54AF">
        <w:rPr>
          <w:b/>
          <w:lang w:bidi="ar-SA"/>
        </w:rPr>
        <w:t>MŠMT</w:t>
      </w:r>
      <w:r>
        <w:rPr>
          <w:rStyle w:val="Znakapoznpodarou"/>
          <w:lang w:bidi="ar-SA"/>
        </w:rPr>
        <w:footnoteReference w:id="56"/>
      </w:r>
      <w:r>
        <w:rPr>
          <w:lang w:bidi="ar-SA"/>
        </w:rPr>
        <w:t xml:space="preserve">, v jehož gesci vznikla první verze strategie, která byla schválena vládou dne 8. prosince 2014. Následně přešlo řízení Národní RIS3 strategie </w:t>
      </w:r>
      <w:r w:rsidR="00594826">
        <w:rPr>
          <w:lang w:bidi="ar-SA"/>
        </w:rPr>
        <w:t xml:space="preserve">k 1. 1. 2015 </w:t>
      </w:r>
      <w:r>
        <w:rPr>
          <w:lang w:bidi="ar-SA"/>
        </w:rPr>
        <w:t xml:space="preserve">do kompetence </w:t>
      </w:r>
      <w:r w:rsidRPr="009A54AF">
        <w:rPr>
          <w:b/>
          <w:lang w:bidi="ar-SA"/>
        </w:rPr>
        <w:t>Úřadu vlády ČR</w:t>
      </w:r>
      <w:r w:rsidR="00DD7416">
        <w:rPr>
          <w:lang w:bidi="ar-SA"/>
        </w:rPr>
        <w:t>,</w:t>
      </w:r>
      <w:r>
        <w:rPr>
          <w:lang w:bidi="ar-SA"/>
        </w:rPr>
        <w:t xml:space="preserve"> do Sekce místopředsedy vlády pro vědu, výzkum a inovace</w:t>
      </w:r>
      <w:r w:rsidR="00DD7416">
        <w:rPr>
          <w:rStyle w:val="Znakapoznpodarou"/>
          <w:lang w:bidi="ar-SA"/>
        </w:rPr>
        <w:footnoteReference w:id="57"/>
      </w:r>
      <w:r>
        <w:rPr>
          <w:lang w:bidi="ar-SA"/>
        </w:rPr>
        <w:t>. V gesci Úřadu vlády byly během roku 2015 a první poloviny roku 2016 na základě požadavků Evropské komise dopracovány konkrétní části Národní RIS3 strategie vztahující se především k řízení, implementaci a rozpočtovému výhledu</w:t>
      </w:r>
      <w:r w:rsidR="00DD7416">
        <w:rPr>
          <w:lang w:bidi="ar-SA"/>
        </w:rPr>
        <w:t xml:space="preserve"> a byla dopracována návrhová část na základě výstupů z EDP procesu. </w:t>
      </w:r>
    </w:p>
    <w:p w14:paraId="2FDB1683" w14:textId="77777777" w:rsidR="00DD7416" w:rsidRDefault="00DD7416" w:rsidP="00E90E13">
      <w:pPr>
        <w:rPr>
          <w:lang w:bidi="ar-SA"/>
        </w:rPr>
      </w:pPr>
      <w:r>
        <w:rPr>
          <w:lang w:bidi="ar-SA"/>
        </w:rPr>
        <w:t xml:space="preserve">Následně </w:t>
      </w:r>
      <w:r w:rsidR="009A54AF">
        <w:rPr>
          <w:lang w:bidi="ar-SA"/>
        </w:rPr>
        <w:t xml:space="preserve">k 1. 4. 2018 </w:t>
      </w:r>
      <w:r w:rsidR="004D6D5E">
        <w:rPr>
          <w:lang w:bidi="ar-SA"/>
        </w:rPr>
        <w:t xml:space="preserve">došlo k převedení agendy Národní RIS3 strategie do kompetence </w:t>
      </w:r>
      <w:r w:rsidR="004D6D5E" w:rsidRPr="0008453D">
        <w:rPr>
          <w:b/>
          <w:lang w:bidi="ar-SA"/>
        </w:rPr>
        <w:t>MPO</w:t>
      </w:r>
      <w:r w:rsidR="004D6D5E">
        <w:rPr>
          <w:rStyle w:val="Znakapoznpodarou"/>
          <w:lang w:bidi="ar-SA"/>
        </w:rPr>
        <w:footnoteReference w:id="58"/>
      </w:r>
      <w:r w:rsidR="004D6D5E">
        <w:rPr>
          <w:lang w:bidi="ar-SA"/>
        </w:rPr>
        <w:t xml:space="preserve">, Sekce digitalizace a inovací. </w:t>
      </w:r>
    </w:p>
    <w:p w14:paraId="02FB6893" w14:textId="77777777" w:rsidR="001A4990" w:rsidRDefault="001A4990" w:rsidP="001A4990">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p>
    <w:p w14:paraId="01E77FBC" w14:textId="77777777" w:rsidR="00905A9C" w:rsidRPr="001A4990" w:rsidRDefault="00905A9C" w:rsidP="00E90E13">
      <w:pPr>
        <w:rPr>
          <w:b/>
          <w:i/>
          <w:u w:val="single"/>
          <w:lang w:bidi="ar-SA"/>
        </w:rPr>
      </w:pPr>
      <w:r w:rsidRPr="001A4990">
        <w:rPr>
          <w:b/>
          <w:i/>
          <w:u w:val="single"/>
          <w:lang w:bidi="ar-SA"/>
        </w:rPr>
        <w:t>Řídicí výbor RIS3</w:t>
      </w:r>
    </w:p>
    <w:p w14:paraId="291C08D9" w14:textId="77777777" w:rsidR="00905A9C" w:rsidRDefault="00905A9C" w:rsidP="00E90E13">
      <w:pPr>
        <w:rPr>
          <w:lang w:bidi="ar-SA"/>
        </w:rPr>
      </w:pPr>
      <w:r>
        <w:rPr>
          <w:lang w:bidi="ar-SA"/>
        </w:rPr>
        <w:t>Řídicí výbor RIS3 představuje nejvyšší úroveň řízení a koordinace Národní RIS3 strategie, čemuž také odpovídá jeho složení. Předsedou ŘV RIS</w:t>
      </w:r>
      <w:r w:rsidR="00EF372E">
        <w:rPr>
          <w:lang w:bidi="ar-SA"/>
        </w:rPr>
        <w:t>3</w:t>
      </w:r>
      <w:r>
        <w:rPr>
          <w:lang w:bidi="ar-SA"/>
        </w:rPr>
        <w:t xml:space="preserve"> je náměstek pro řízení sekce di</w:t>
      </w:r>
      <w:r w:rsidR="0048368E">
        <w:rPr>
          <w:lang w:bidi="ar-SA"/>
        </w:rPr>
        <w:t>gitalizace a inovací, do jehož gesce</w:t>
      </w:r>
      <w:r>
        <w:rPr>
          <w:lang w:bidi="ar-SA"/>
        </w:rPr>
        <w:t xml:space="preserve"> </w:t>
      </w:r>
      <w:r w:rsidR="00745D38">
        <w:rPr>
          <w:lang w:bidi="ar-SA"/>
        </w:rPr>
        <w:t xml:space="preserve">patří </w:t>
      </w:r>
      <w:r>
        <w:rPr>
          <w:lang w:bidi="ar-SA"/>
        </w:rPr>
        <w:t xml:space="preserve">Národní RIS3 strategie. Dále jsou členy náměstci </w:t>
      </w:r>
      <w:r w:rsidR="0048368E">
        <w:rPr>
          <w:lang w:bidi="ar-SA"/>
        </w:rPr>
        <w:t xml:space="preserve">ministrů, do jejichž kompetence spadají řídicí orgány operačních programů s ex-ante kondicionalitou, </w:t>
      </w:r>
      <w:r w:rsidR="0077447D">
        <w:rPr>
          <w:lang w:bidi="ar-SA"/>
        </w:rPr>
        <w:t xml:space="preserve">náměstek MMR se zastřešující rolí v oblasti ESIF, </w:t>
      </w:r>
      <w:r w:rsidR="0048368E">
        <w:rPr>
          <w:lang w:bidi="ar-SA"/>
        </w:rPr>
        <w:t xml:space="preserve">zástupce hl. m. Prahy, předseda </w:t>
      </w:r>
      <w:r w:rsidR="00677C2A">
        <w:rPr>
          <w:lang w:bidi="ar-SA"/>
        </w:rPr>
        <w:t xml:space="preserve">TA ČR a zástupce Rady pro výzkum, vývoj a inovace. </w:t>
      </w:r>
      <w:r w:rsidR="0077447D">
        <w:rPr>
          <w:lang w:bidi="ar-SA"/>
        </w:rPr>
        <w:t xml:space="preserve">Jako stálí hosté se jednání ŘV RIS3 účastní zástupci MF, MPSV, vybraní zástupci krajů a další významní aktéři. </w:t>
      </w:r>
    </w:p>
    <w:p w14:paraId="338C2420" w14:textId="292A47FB" w:rsidR="0077447D" w:rsidRDefault="0077447D" w:rsidP="00E90E13">
      <w:pPr>
        <w:rPr>
          <w:lang w:bidi="ar-SA"/>
        </w:rPr>
      </w:pPr>
      <w:r>
        <w:rPr>
          <w:lang w:bidi="ar-SA"/>
        </w:rPr>
        <w:t xml:space="preserve">Ačkoliv </w:t>
      </w:r>
      <w:r w:rsidR="00D40D62">
        <w:rPr>
          <w:lang w:bidi="ar-SA"/>
        </w:rPr>
        <w:t xml:space="preserve">oficiální </w:t>
      </w:r>
      <w:r>
        <w:rPr>
          <w:lang w:bidi="ar-SA"/>
        </w:rPr>
        <w:t>složení ŘV RIS3 je vysoce reprezentativní, je nutné konstatovat, že reál</w:t>
      </w:r>
      <w:r w:rsidR="00D40D62">
        <w:rPr>
          <w:lang w:bidi="ar-SA"/>
        </w:rPr>
        <w:t>ně</w:t>
      </w:r>
      <w:r>
        <w:rPr>
          <w:lang w:bidi="ar-SA"/>
        </w:rPr>
        <w:t xml:space="preserve"> tomu </w:t>
      </w:r>
      <w:r w:rsidR="00D40D62">
        <w:rPr>
          <w:lang w:bidi="ar-SA"/>
        </w:rPr>
        <w:t xml:space="preserve">faktická účast na </w:t>
      </w:r>
      <w:r>
        <w:rPr>
          <w:lang w:bidi="ar-SA"/>
        </w:rPr>
        <w:t>jednotliv</w:t>
      </w:r>
      <w:r w:rsidR="00D40D62">
        <w:rPr>
          <w:lang w:bidi="ar-SA"/>
        </w:rPr>
        <w:t>ých</w:t>
      </w:r>
      <w:r>
        <w:rPr>
          <w:lang w:bidi="ar-SA"/>
        </w:rPr>
        <w:t xml:space="preserve"> jednání</w:t>
      </w:r>
      <w:r w:rsidR="00D40D62">
        <w:rPr>
          <w:lang w:bidi="ar-SA"/>
        </w:rPr>
        <w:t>ch</w:t>
      </w:r>
      <w:r>
        <w:rPr>
          <w:lang w:bidi="ar-SA"/>
        </w:rPr>
        <w:t xml:space="preserve"> </w:t>
      </w:r>
      <w:r w:rsidR="00D40D62">
        <w:rPr>
          <w:lang w:bidi="ar-SA"/>
        </w:rPr>
        <w:t xml:space="preserve">ne vždy </w:t>
      </w:r>
      <w:r>
        <w:rPr>
          <w:lang w:bidi="ar-SA"/>
        </w:rPr>
        <w:t>odpovíd</w:t>
      </w:r>
      <w:r w:rsidR="00D40D62">
        <w:rPr>
          <w:lang w:bidi="ar-SA"/>
        </w:rPr>
        <w:t>á</w:t>
      </w:r>
      <w:r w:rsidR="00EF372E">
        <w:rPr>
          <w:rStyle w:val="Znakapoznpodarou"/>
          <w:lang w:bidi="ar-SA"/>
        </w:rPr>
        <w:footnoteReference w:id="59"/>
      </w:r>
      <w:r>
        <w:rPr>
          <w:lang w:bidi="ar-SA"/>
        </w:rPr>
        <w:t xml:space="preserve">. </w:t>
      </w:r>
      <w:r w:rsidR="00D40D62" w:rsidRPr="00745D38">
        <w:rPr>
          <w:b/>
          <w:lang w:bidi="ar-SA"/>
        </w:rPr>
        <w:t>Zastupování</w:t>
      </w:r>
      <w:r w:rsidR="00D40D62">
        <w:rPr>
          <w:lang w:bidi="ar-SA"/>
        </w:rPr>
        <w:t xml:space="preserve"> jmenovaných členů ŘV </w:t>
      </w:r>
      <w:r w:rsidR="00F92C94">
        <w:rPr>
          <w:lang w:bidi="ar-SA"/>
        </w:rPr>
        <w:t xml:space="preserve">RIS3 </w:t>
      </w:r>
      <w:r w:rsidR="00D40D62">
        <w:rPr>
          <w:lang w:bidi="ar-SA"/>
        </w:rPr>
        <w:t xml:space="preserve">nižšími úředníky do značné míry </w:t>
      </w:r>
      <w:r w:rsidR="00D40D62" w:rsidRPr="00745D38">
        <w:rPr>
          <w:b/>
          <w:lang w:bidi="ar-SA"/>
        </w:rPr>
        <w:t>snižuje význam</w:t>
      </w:r>
      <w:r w:rsidR="00D40D62">
        <w:rPr>
          <w:lang w:bidi="ar-SA"/>
        </w:rPr>
        <w:t xml:space="preserve"> Řídicího výboru, jeho schopnost přijímat opatření a činit  rozhodnutí</w:t>
      </w:r>
      <w:r w:rsidR="002F3E5B">
        <w:rPr>
          <w:lang w:bidi="ar-SA"/>
        </w:rPr>
        <w:t>.</w:t>
      </w:r>
      <w:r w:rsidR="004C17ED">
        <w:rPr>
          <w:lang w:bidi="ar-SA"/>
        </w:rPr>
        <w:t xml:space="preserve"> Zastupování nižší úředníky může mít za následek v dlouhodobém horizontu, že jednání se stávají </w:t>
      </w:r>
      <w:r w:rsidR="004C17ED" w:rsidRPr="00DA77F8">
        <w:rPr>
          <w:lang w:bidi="ar-SA"/>
        </w:rPr>
        <w:t>formálními</w:t>
      </w:r>
      <w:r w:rsidR="00F92C94">
        <w:rPr>
          <w:lang w:bidi="ar-SA"/>
        </w:rPr>
        <w:t xml:space="preserve">, což může mít </w:t>
      </w:r>
      <w:r w:rsidR="002F3E5B">
        <w:rPr>
          <w:lang w:bidi="ar-SA"/>
        </w:rPr>
        <w:t>sekundárně negativní dopad na vnímání</w:t>
      </w:r>
      <w:r w:rsidR="00D40D62">
        <w:rPr>
          <w:lang w:bidi="ar-SA"/>
        </w:rPr>
        <w:t xml:space="preserve"> </w:t>
      </w:r>
      <w:r w:rsidR="00F92C94">
        <w:rPr>
          <w:lang w:bidi="ar-SA"/>
        </w:rPr>
        <w:t xml:space="preserve">významu </w:t>
      </w:r>
      <w:r w:rsidR="00D40D62">
        <w:rPr>
          <w:lang w:bidi="ar-SA"/>
        </w:rPr>
        <w:t xml:space="preserve">Národní RIS3 strategie jako takové.  </w:t>
      </w:r>
    </w:p>
    <w:p w14:paraId="2252B3C6" w14:textId="77777777" w:rsidR="0077447D" w:rsidRPr="001A4990" w:rsidRDefault="000B0BDE" w:rsidP="00E90E13">
      <w:pPr>
        <w:rPr>
          <w:b/>
          <w:i/>
          <w:u w:val="single"/>
          <w:lang w:bidi="ar-SA"/>
        </w:rPr>
      </w:pPr>
      <w:r w:rsidRPr="001A4990">
        <w:rPr>
          <w:b/>
          <w:i/>
          <w:u w:val="single"/>
          <w:lang w:bidi="ar-SA"/>
        </w:rPr>
        <w:t>Národní RIS3 manažer</w:t>
      </w:r>
    </w:p>
    <w:p w14:paraId="59C765BB" w14:textId="77777777" w:rsidR="00FF3D35" w:rsidRDefault="0008453D" w:rsidP="00E90E13">
      <w:pPr>
        <w:rPr>
          <w:lang w:bidi="ar-SA"/>
        </w:rPr>
      </w:pPr>
      <w:r>
        <w:rPr>
          <w:lang w:bidi="ar-SA"/>
        </w:rPr>
        <w:t>Neustálé přesuny agendy Národní RIS3 strategie, která je klíčová pro rozvoj inovačního potenciálu ČR</w:t>
      </w:r>
      <w:r w:rsidR="00F92C94">
        <w:rPr>
          <w:lang w:bidi="ar-SA"/>
        </w:rPr>
        <w:t>,</w:t>
      </w:r>
      <w:r>
        <w:rPr>
          <w:lang w:bidi="ar-SA"/>
        </w:rPr>
        <w:t xml:space="preserve"> jsou logicky doprovázeny negativními jevy, které nepřispívají k budování pozitivního image této problematiky. </w:t>
      </w:r>
      <w:r w:rsidR="00FF3D35">
        <w:rPr>
          <w:lang w:bidi="ar-SA"/>
        </w:rPr>
        <w:t xml:space="preserve">Jedním z negativních důsledků je vysoká </w:t>
      </w:r>
      <w:r w:rsidR="00FF3D35" w:rsidRPr="00745D38">
        <w:rPr>
          <w:b/>
          <w:lang w:bidi="ar-SA"/>
        </w:rPr>
        <w:t>fluktuace</w:t>
      </w:r>
      <w:r w:rsidR="00FF3D35">
        <w:rPr>
          <w:lang w:bidi="ar-SA"/>
        </w:rPr>
        <w:t xml:space="preserve"> na pozici Národního RIS3 manažera, jakožto klíčové osoby řízení celého procesu Národní RIS3 strategie, což je ze strany stakeholderů citlivě vnímáno</w:t>
      </w:r>
      <w:r w:rsidR="00FF3D35">
        <w:rPr>
          <w:rStyle w:val="Znakapoznpodarou"/>
          <w:lang w:bidi="ar-SA"/>
        </w:rPr>
        <w:footnoteReference w:id="60"/>
      </w:r>
      <w:r w:rsidR="00FF3D35">
        <w:rPr>
          <w:lang w:bidi="ar-SA"/>
        </w:rPr>
        <w:t xml:space="preserve">. </w:t>
      </w:r>
    </w:p>
    <w:p w14:paraId="5196969E" w14:textId="77777777" w:rsidR="00FF3D35" w:rsidRDefault="00FF3D35" w:rsidP="00E90E13">
      <w:pPr>
        <w:rPr>
          <w:lang w:bidi="ar-SA"/>
        </w:rPr>
      </w:pPr>
      <w:r>
        <w:rPr>
          <w:lang w:bidi="ar-SA"/>
        </w:rPr>
        <w:lastRenderedPageBreak/>
        <w:t xml:space="preserve">Další </w:t>
      </w:r>
      <w:r w:rsidR="00594826">
        <w:rPr>
          <w:lang w:bidi="ar-SA"/>
        </w:rPr>
        <w:t xml:space="preserve">problematickou </w:t>
      </w:r>
      <w:r>
        <w:rPr>
          <w:lang w:bidi="ar-SA"/>
        </w:rPr>
        <w:t>rovinu představuje ukotvení této problematiky ve struktuře orgánů státní správy</w:t>
      </w:r>
      <w:r w:rsidR="00D5781B">
        <w:rPr>
          <w:lang w:bidi="ar-SA"/>
        </w:rPr>
        <w:t>. Ta</w:t>
      </w:r>
      <w:r w:rsidR="00594826">
        <w:rPr>
          <w:lang w:bidi="ar-SA"/>
        </w:rPr>
        <w:t xml:space="preserve"> se vyznačuje vysokou míru hierarchizace (model hierarchického řízení je typický pro instituce veřejné správy), a to jak ve vzájemném vztahu </w:t>
      </w:r>
      <w:r w:rsidR="00D5781B">
        <w:rPr>
          <w:lang w:bidi="ar-SA"/>
        </w:rPr>
        <w:t>těchto</w:t>
      </w:r>
      <w:r w:rsidR="00594826">
        <w:rPr>
          <w:lang w:bidi="ar-SA"/>
        </w:rPr>
        <w:t xml:space="preserve"> institucí, tak uvnitř </w:t>
      </w:r>
      <w:r w:rsidR="00D5781B">
        <w:rPr>
          <w:lang w:bidi="ar-SA"/>
        </w:rPr>
        <w:t>jednotlivých</w:t>
      </w:r>
      <w:r w:rsidR="00594826">
        <w:rPr>
          <w:lang w:bidi="ar-SA"/>
        </w:rPr>
        <w:t xml:space="preserve"> institucí. Ačkoliv má problematika Národní RIS3 strategie n</w:t>
      </w:r>
      <w:r w:rsidR="00D5781B">
        <w:rPr>
          <w:lang w:bidi="ar-SA"/>
        </w:rPr>
        <w:t>ad</w:t>
      </w:r>
      <w:r w:rsidR="00594826">
        <w:rPr>
          <w:lang w:bidi="ar-SA"/>
        </w:rPr>
        <w:t>rezortní charakter</w:t>
      </w:r>
      <w:r w:rsidR="00D5781B">
        <w:rPr>
          <w:lang w:bidi="ar-SA"/>
        </w:rPr>
        <w:t>, tzn. že vyžaduje řízení a koordinaci napříč rezorty</w:t>
      </w:r>
      <w:r w:rsidR="00594826">
        <w:rPr>
          <w:lang w:bidi="ar-SA"/>
        </w:rPr>
        <w:t xml:space="preserve">, </w:t>
      </w:r>
      <w:r w:rsidR="00D5781B">
        <w:rPr>
          <w:lang w:bidi="ar-SA"/>
        </w:rPr>
        <w:t>byla přesunuta z Úřadu vlády, jakožto nadrezortní instituce</w:t>
      </w:r>
      <w:r w:rsidR="00F92C94">
        <w:rPr>
          <w:lang w:bidi="ar-SA"/>
        </w:rPr>
        <w:t>,</w:t>
      </w:r>
      <w:r w:rsidR="00D5781B">
        <w:rPr>
          <w:lang w:bidi="ar-SA"/>
        </w:rPr>
        <w:t xml:space="preserve"> do kompetence MPO. </w:t>
      </w:r>
    </w:p>
    <w:p w14:paraId="191D0384" w14:textId="77777777" w:rsidR="0020695B" w:rsidRDefault="00D5781B" w:rsidP="00E90E13">
      <w:pPr>
        <w:rPr>
          <w:lang w:bidi="ar-SA"/>
        </w:rPr>
      </w:pPr>
      <w:r>
        <w:rPr>
          <w:lang w:bidi="ar-SA"/>
        </w:rPr>
        <w:t xml:space="preserve">Role Národního RIS3 manažera je tak zabezpečována </w:t>
      </w:r>
      <w:r w:rsidR="00745D38">
        <w:rPr>
          <w:lang w:bidi="ar-SA"/>
        </w:rPr>
        <w:t xml:space="preserve">pouze </w:t>
      </w:r>
      <w:r w:rsidR="0020695B">
        <w:rPr>
          <w:lang w:bidi="ar-SA"/>
        </w:rPr>
        <w:t xml:space="preserve">z pozice vedoucího oddělení. </w:t>
      </w:r>
      <w:r w:rsidR="00F92C94">
        <w:rPr>
          <w:lang w:bidi="ar-SA"/>
        </w:rPr>
        <w:t>To p</w:t>
      </w:r>
      <w:r w:rsidR="0020695B">
        <w:rPr>
          <w:lang w:bidi="ar-SA"/>
        </w:rPr>
        <w:t xml:space="preserve">ro Národního RIS3 </w:t>
      </w:r>
      <w:r w:rsidR="00F92C94">
        <w:rPr>
          <w:lang w:bidi="ar-SA"/>
        </w:rPr>
        <w:t xml:space="preserve">manažera představuje </w:t>
      </w:r>
      <w:r w:rsidR="0020695B" w:rsidRPr="00745D38">
        <w:rPr>
          <w:b/>
          <w:lang w:bidi="ar-SA"/>
        </w:rPr>
        <w:t>velmi obtížnou situaci</w:t>
      </w:r>
      <w:r w:rsidR="0020695B">
        <w:rPr>
          <w:lang w:bidi="ar-SA"/>
        </w:rPr>
        <w:t xml:space="preserve"> p</w:t>
      </w:r>
      <w:r w:rsidR="00F92C94">
        <w:rPr>
          <w:lang w:bidi="ar-SA"/>
        </w:rPr>
        <w:t>ři</w:t>
      </w:r>
      <w:r w:rsidR="0020695B">
        <w:rPr>
          <w:lang w:bidi="ar-SA"/>
        </w:rPr>
        <w:t xml:space="preserve"> plnění jeho role, která spočívá v komplexním řízení a koordinaci všech aktérů podílejících se na implementaci Národní RIS3 strategie. V praxi to znamená, že Národní RIS3 manažer </w:t>
      </w:r>
      <w:r w:rsidR="00F92C94">
        <w:rPr>
          <w:lang w:bidi="ar-SA"/>
        </w:rPr>
        <w:t xml:space="preserve">velmi často </w:t>
      </w:r>
      <w:r w:rsidR="0020695B">
        <w:rPr>
          <w:lang w:bidi="ar-SA"/>
        </w:rPr>
        <w:t>vyjednává s managementem řídicích orgánů OP, nositeli národních programů podpory (vrcholovým managementem TA ČR), krajskými reprezentacemi, členy NIP (</w:t>
      </w:r>
      <w:r w:rsidR="001A4990">
        <w:rPr>
          <w:lang w:bidi="ar-SA"/>
        </w:rPr>
        <w:t xml:space="preserve">členové jsou </w:t>
      </w:r>
      <w:r w:rsidR="0020695B">
        <w:rPr>
          <w:lang w:bidi="ar-SA"/>
        </w:rPr>
        <w:t xml:space="preserve">mnohdy </w:t>
      </w:r>
      <w:r w:rsidR="001A4990">
        <w:rPr>
          <w:lang w:bidi="ar-SA"/>
        </w:rPr>
        <w:t xml:space="preserve">z úrovně </w:t>
      </w:r>
      <w:r w:rsidR="0020695B">
        <w:rPr>
          <w:lang w:bidi="ar-SA"/>
        </w:rPr>
        <w:t>vysok</w:t>
      </w:r>
      <w:r w:rsidR="001A4990">
        <w:rPr>
          <w:lang w:bidi="ar-SA"/>
        </w:rPr>
        <w:t>ého</w:t>
      </w:r>
      <w:r w:rsidR="0020695B">
        <w:rPr>
          <w:lang w:bidi="ar-SA"/>
        </w:rPr>
        <w:t xml:space="preserve"> management</w:t>
      </w:r>
      <w:r w:rsidR="001A4990">
        <w:rPr>
          <w:lang w:bidi="ar-SA"/>
        </w:rPr>
        <w:t>u</w:t>
      </w:r>
      <w:r w:rsidR="0020695B">
        <w:rPr>
          <w:lang w:bidi="ar-SA"/>
        </w:rPr>
        <w:t xml:space="preserve"> vědeckovýzkumných institucí a podnikatelské sféry) apod</w:t>
      </w:r>
      <w:r w:rsidR="00F92C94">
        <w:rPr>
          <w:lang w:bidi="ar-SA"/>
        </w:rPr>
        <w:t>., aniž by byl v rovnocenné pozici</w:t>
      </w:r>
      <w:r w:rsidR="0020695B">
        <w:rPr>
          <w:lang w:bidi="ar-SA"/>
        </w:rPr>
        <w:t xml:space="preserve">. </w:t>
      </w:r>
      <w:r w:rsidR="00864202">
        <w:rPr>
          <w:lang w:bidi="ar-SA"/>
        </w:rPr>
        <w:t>V neposlední řadě Národní RIS3 manažer zajiš</w:t>
      </w:r>
      <w:r w:rsidR="001A4990">
        <w:rPr>
          <w:lang w:bidi="ar-SA"/>
        </w:rPr>
        <w:t>ť</w:t>
      </w:r>
      <w:r w:rsidR="00864202">
        <w:rPr>
          <w:lang w:bidi="ar-SA"/>
        </w:rPr>
        <w:t>uje komunikaci s Evropskou komisí týkající se RIS3 problematiky</w:t>
      </w:r>
      <w:r w:rsidR="00D87319">
        <w:rPr>
          <w:lang w:bidi="ar-SA"/>
        </w:rPr>
        <w:t xml:space="preserve"> a jeho postavení tak vysílá</w:t>
      </w:r>
      <w:r w:rsidR="00F92C94">
        <w:rPr>
          <w:lang w:bidi="ar-SA"/>
        </w:rPr>
        <w:t xml:space="preserve"> signály</w:t>
      </w:r>
      <w:r w:rsidR="00D87319">
        <w:rPr>
          <w:lang w:bidi="ar-SA"/>
        </w:rPr>
        <w:t xml:space="preserve"> i vně ČR, jaká důležitost je této problematice na národní úrovni přisuzována</w:t>
      </w:r>
      <w:r w:rsidR="00864202">
        <w:rPr>
          <w:lang w:bidi="ar-SA"/>
        </w:rPr>
        <w:t xml:space="preserve">. </w:t>
      </w:r>
    </w:p>
    <w:p w14:paraId="2BAB2F49" w14:textId="77777777" w:rsidR="001A4990" w:rsidRPr="001A4990" w:rsidRDefault="001A4990" w:rsidP="00E90E13">
      <w:pPr>
        <w:rPr>
          <w:b/>
          <w:i/>
          <w:u w:val="single"/>
          <w:lang w:bidi="ar-SA"/>
        </w:rPr>
      </w:pPr>
      <w:r w:rsidRPr="001A4990">
        <w:rPr>
          <w:b/>
          <w:i/>
          <w:u w:val="single"/>
          <w:lang w:bidi="ar-SA"/>
        </w:rPr>
        <w:t>Analytický tým</w:t>
      </w:r>
    </w:p>
    <w:p w14:paraId="6141C920" w14:textId="77777777" w:rsidR="00D5781B" w:rsidRDefault="001A4990" w:rsidP="00E90E13">
      <w:pPr>
        <w:rPr>
          <w:lang w:bidi="ar-SA"/>
        </w:rPr>
      </w:pPr>
      <w:r>
        <w:rPr>
          <w:lang w:bidi="ar-SA"/>
        </w:rPr>
        <w:t xml:space="preserve">Úkolem analytického týmu je podpora činnosti Národního RIS3 manažera. Fakticky úlohu analytického týmu </w:t>
      </w:r>
      <w:r w:rsidR="009A7A4F">
        <w:rPr>
          <w:lang w:bidi="ar-SA"/>
        </w:rPr>
        <w:t xml:space="preserve">plní Oddělení strategie S3 v personálním obsazení 3 + 1 (Národní RIS3 manažer). Úlohou analytického týmu nejsou pouze aktivity „analytického charakteru“, ale jejich činnost je z velké části zaměřena i na organizaci a koordinaci celého procesu implementace Národní RIS3 strategie. </w:t>
      </w:r>
    </w:p>
    <w:p w14:paraId="33CDC703" w14:textId="77777777" w:rsidR="009A7A4F" w:rsidRDefault="009A7A4F" w:rsidP="00E90E13">
      <w:pPr>
        <w:rPr>
          <w:lang w:bidi="ar-SA"/>
        </w:rPr>
      </w:pPr>
      <w:r>
        <w:rPr>
          <w:lang w:bidi="ar-SA"/>
        </w:rPr>
        <w:t xml:space="preserve">Mezi </w:t>
      </w:r>
      <w:r w:rsidR="003A74E8">
        <w:rPr>
          <w:lang w:bidi="ar-SA"/>
        </w:rPr>
        <w:t xml:space="preserve">hlavní </w:t>
      </w:r>
      <w:r>
        <w:rPr>
          <w:lang w:bidi="ar-SA"/>
        </w:rPr>
        <w:t xml:space="preserve">činnosti „analytického“ charakteru lze zařadit: monitoring intervencí OP a NPP vždy k 5. a 10. měsíci daného roku; </w:t>
      </w:r>
      <w:r w:rsidR="005D52E5">
        <w:rPr>
          <w:lang w:bidi="ar-SA"/>
        </w:rPr>
        <w:t xml:space="preserve">analýza dat a </w:t>
      </w:r>
      <w:r>
        <w:rPr>
          <w:lang w:bidi="ar-SA"/>
        </w:rPr>
        <w:t xml:space="preserve">zpracování Zprávy o realizaci Národní RIS3 strategie v daném roce; zpracování Plánu implementace Národní RIS3 strategie na další rok; </w:t>
      </w:r>
      <w:r w:rsidR="005D52E5">
        <w:rPr>
          <w:lang w:bidi="ar-SA"/>
        </w:rPr>
        <w:t>zpracování Aktualizace Národní RIS3 strategie (jednou za dva roky); analýza a vyhodnocení podkladů krajů (Pololetní zprávy zasílány 2x ročně), zpracování Národní RIS3 strategie 2021+ (s využitím výstupů externího dodavatele)</w:t>
      </w:r>
      <w:r w:rsidR="003A74E8">
        <w:rPr>
          <w:lang w:bidi="ar-SA"/>
        </w:rPr>
        <w:t>, příprava podkladů pro EK a MMR v souvislosti přípravou nového programového období</w:t>
      </w:r>
      <w:r w:rsidR="006C7129">
        <w:rPr>
          <w:lang w:bidi="ar-SA"/>
        </w:rPr>
        <w:t xml:space="preserve"> a další.</w:t>
      </w:r>
    </w:p>
    <w:p w14:paraId="785897A0" w14:textId="77777777" w:rsidR="006C7129" w:rsidRDefault="006C7129" w:rsidP="00E90E13">
      <w:pPr>
        <w:rPr>
          <w:lang w:bidi="ar-SA"/>
        </w:rPr>
      </w:pPr>
      <w:r>
        <w:rPr>
          <w:lang w:bidi="ar-SA"/>
        </w:rPr>
        <w:t xml:space="preserve">Mezi </w:t>
      </w:r>
      <w:r w:rsidR="003A74E8">
        <w:rPr>
          <w:lang w:bidi="ar-SA"/>
        </w:rPr>
        <w:t xml:space="preserve">hlavní </w:t>
      </w:r>
      <w:r>
        <w:rPr>
          <w:lang w:bidi="ar-SA"/>
        </w:rPr>
        <w:t xml:space="preserve">činnosti „organizačního“ charakteru lze zařadit: organizační zajištění jednání ŘV RIS3, včetně obsahové přípravy podkladových materiálů (cca 4x ročně); organizační zajištění jednání </w:t>
      </w:r>
      <w:r w:rsidR="003A74E8">
        <w:rPr>
          <w:lang w:bidi="ar-SA"/>
        </w:rPr>
        <w:t xml:space="preserve">všech </w:t>
      </w:r>
      <w:r>
        <w:rPr>
          <w:lang w:bidi="ar-SA"/>
        </w:rPr>
        <w:t>NIP, včetně obsahové přípravy podkladových materiálů (cca 14x ročně)</w:t>
      </w:r>
      <w:r w:rsidR="003A74E8">
        <w:rPr>
          <w:lang w:bidi="ar-SA"/>
        </w:rPr>
        <w:t xml:space="preserve">; organizační zajištění jednání MAPS, včetně obsahové přípravy podkladových materiálů (cca 6x ročně); organizační zajištění pravidelných setkání s kraji, včetně obsahové přípravy podkladových materiálů (cca 2x ročně) a další. </w:t>
      </w:r>
    </w:p>
    <w:p w14:paraId="79BDD7A6" w14:textId="77777777" w:rsidR="003A74E8" w:rsidRDefault="003A74E8" w:rsidP="00E90E13">
      <w:pPr>
        <w:rPr>
          <w:lang w:bidi="ar-SA"/>
        </w:rPr>
      </w:pPr>
      <w:r>
        <w:rPr>
          <w:lang w:bidi="ar-SA"/>
        </w:rPr>
        <w:t xml:space="preserve">Ačkoliv Oddělení strategie S3 funguje ve velmi omezeném personálním složení, výše uvedené základní úkoly spojené s implementací Národní RIS3 strategie se mu daří adekvátně plnit. </w:t>
      </w:r>
    </w:p>
    <w:p w14:paraId="0306E555" w14:textId="77777777" w:rsidR="003A74E8" w:rsidRDefault="003A74E8" w:rsidP="00E90E13">
      <w:pPr>
        <w:rPr>
          <w:lang w:bidi="ar-SA"/>
        </w:rPr>
      </w:pPr>
      <w:r>
        <w:rPr>
          <w:lang w:bidi="ar-SA"/>
        </w:rPr>
        <w:lastRenderedPageBreak/>
        <w:t xml:space="preserve">Nicméně </w:t>
      </w:r>
      <w:r w:rsidR="003D2544">
        <w:rPr>
          <w:lang w:bidi="ar-SA"/>
        </w:rPr>
        <w:t xml:space="preserve">evaluátor se domnívá, že rozsah RIS3 agendy v porovnání s disponibilními personálními kapacitami již neumožňuje týmu </w:t>
      </w:r>
      <w:r w:rsidR="003F38B9">
        <w:rPr>
          <w:lang w:bidi="ar-SA"/>
        </w:rPr>
        <w:t xml:space="preserve">(a národnímu RIS3 manažerovi) </w:t>
      </w:r>
      <w:r w:rsidR="003D2544">
        <w:rPr>
          <w:lang w:bidi="ar-SA"/>
        </w:rPr>
        <w:t>vykonávat naprosto zásadní úlohu, a tou je</w:t>
      </w:r>
      <w:r w:rsidR="00D5770D">
        <w:rPr>
          <w:lang w:bidi="ar-SA"/>
        </w:rPr>
        <w:t xml:space="preserve"> systematické</w:t>
      </w:r>
      <w:r w:rsidR="003D2544">
        <w:rPr>
          <w:lang w:bidi="ar-SA"/>
        </w:rPr>
        <w:t xml:space="preserve"> </w:t>
      </w:r>
      <w:r w:rsidR="00B704CA" w:rsidRPr="00B704CA">
        <w:rPr>
          <w:b/>
          <w:lang w:bidi="ar-SA"/>
        </w:rPr>
        <w:t>koncepční a</w:t>
      </w:r>
      <w:r w:rsidR="00B704CA">
        <w:rPr>
          <w:lang w:bidi="ar-SA"/>
        </w:rPr>
        <w:t xml:space="preserve"> </w:t>
      </w:r>
      <w:r w:rsidR="003D2544" w:rsidRPr="007404D9">
        <w:rPr>
          <w:b/>
          <w:lang w:bidi="ar-SA"/>
        </w:rPr>
        <w:t>metodické vedení</w:t>
      </w:r>
      <w:r w:rsidR="003D2544">
        <w:rPr>
          <w:lang w:bidi="ar-SA"/>
        </w:rPr>
        <w:t xml:space="preserve">. </w:t>
      </w:r>
      <w:r w:rsidR="003F38B9">
        <w:rPr>
          <w:lang w:bidi="ar-SA"/>
        </w:rPr>
        <w:t xml:space="preserve">Absence </w:t>
      </w:r>
      <w:r w:rsidR="00D5770D">
        <w:rPr>
          <w:lang w:bidi="ar-SA"/>
        </w:rPr>
        <w:t xml:space="preserve">systematického </w:t>
      </w:r>
      <w:r w:rsidR="003F38B9">
        <w:rPr>
          <w:lang w:bidi="ar-SA"/>
        </w:rPr>
        <w:t xml:space="preserve">metodického vedení a koordinace </w:t>
      </w:r>
      <w:r w:rsidR="00B704CA">
        <w:rPr>
          <w:lang w:bidi="ar-SA"/>
        </w:rPr>
        <w:t xml:space="preserve">byla velmi často zmiňována v terénním šetření, a to jak ze strany krajů, tak i hráčů na národní úrovni. </w:t>
      </w:r>
      <w:r w:rsidR="00D5770D">
        <w:rPr>
          <w:lang w:bidi="ar-SA"/>
        </w:rPr>
        <w:t xml:space="preserve">Ačkoliv, jak vyplývá z vyjádření stakeholderů, se za poslední období (většinou zmiňován poslední rok) situace </w:t>
      </w:r>
      <w:r w:rsidR="00D5770D" w:rsidRPr="00D5770D">
        <w:rPr>
          <w:b/>
          <w:lang w:bidi="ar-SA"/>
        </w:rPr>
        <w:t>výrazně zlepšila</w:t>
      </w:r>
      <w:r w:rsidR="00D5770D">
        <w:rPr>
          <w:lang w:bidi="ar-SA"/>
        </w:rPr>
        <w:t xml:space="preserve"> a </w:t>
      </w:r>
      <w:r w:rsidR="00D5770D" w:rsidRPr="00D5770D">
        <w:rPr>
          <w:b/>
          <w:lang w:bidi="ar-SA"/>
        </w:rPr>
        <w:t>byl učiněn znatelný pokrok</w:t>
      </w:r>
      <w:r w:rsidR="00D5770D">
        <w:rPr>
          <w:lang w:bidi="ar-SA"/>
        </w:rPr>
        <w:t xml:space="preserve"> jak ve vztahu ke krajské úrovni, tak ve vztahu k NIP, důraz na koordinovaný přístup bude zejména v souvislosti s přípravou pro příští programové období, resp. Národní RIS3 2021+ </w:t>
      </w:r>
      <w:r w:rsidR="00D5770D" w:rsidRPr="00D5770D">
        <w:rPr>
          <w:b/>
          <w:lang w:bidi="ar-SA"/>
        </w:rPr>
        <w:t>enormně narůstat</w:t>
      </w:r>
      <w:r w:rsidR="00D5770D">
        <w:rPr>
          <w:lang w:bidi="ar-SA"/>
        </w:rPr>
        <w:t xml:space="preserve">. </w:t>
      </w:r>
      <w:r w:rsidR="003D2544">
        <w:rPr>
          <w:lang w:bidi="ar-SA"/>
        </w:rPr>
        <w:t xml:space="preserve">  </w:t>
      </w:r>
      <w:r w:rsidR="007404D9">
        <w:rPr>
          <w:lang w:bidi="ar-SA"/>
        </w:rPr>
        <w:t xml:space="preserve"> </w:t>
      </w:r>
    </w:p>
    <w:p w14:paraId="3A98A241" w14:textId="77777777" w:rsidR="009A7A4F" w:rsidRPr="0095004D" w:rsidRDefault="0095004D" w:rsidP="00E90E13">
      <w:pPr>
        <w:rPr>
          <w:b/>
          <w:i/>
          <w:u w:val="single"/>
          <w:lang w:bidi="ar-SA"/>
        </w:rPr>
      </w:pPr>
      <w:r w:rsidRPr="0095004D">
        <w:rPr>
          <w:b/>
          <w:i/>
          <w:u w:val="single"/>
          <w:lang w:bidi="ar-SA"/>
        </w:rPr>
        <w:t xml:space="preserve">Mezirezortní analytická pracovní skupina </w:t>
      </w:r>
    </w:p>
    <w:p w14:paraId="0C95702F" w14:textId="77777777" w:rsidR="00FE0F1C" w:rsidRDefault="0095004D" w:rsidP="00E90E13">
      <w:pPr>
        <w:rPr>
          <w:lang w:bidi="ar-SA"/>
        </w:rPr>
      </w:pPr>
      <w:r>
        <w:rPr>
          <w:lang w:bidi="ar-SA"/>
        </w:rPr>
        <w:t xml:space="preserve">Mezirezortní analytická pracovní skupina byla zřízena za účelem plynulejší koordinace aktivit mezi </w:t>
      </w:r>
      <w:r w:rsidR="00FE0F1C">
        <w:rPr>
          <w:lang w:bidi="ar-SA"/>
        </w:rPr>
        <w:t>týmem Národní RIS3 strategie</w:t>
      </w:r>
      <w:r w:rsidR="00FE0F1C">
        <w:rPr>
          <w:rStyle w:val="Znakapoznpodarou"/>
          <w:lang w:bidi="ar-SA"/>
        </w:rPr>
        <w:footnoteReference w:id="61"/>
      </w:r>
      <w:r w:rsidR="00FE0F1C">
        <w:rPr>
          <w:lang w:bidi="ar-SA"/>
        </w:rPr>
        <w:t xml:space="preserve"> a </w:t>
      </w:r>
      <w:r>
        <w:rPr>
          <w:lang w:bidi="ar-SA"/>
        </w:rPr>
        <w:t xml:space="preserve">jednotlivými řídicími orgány a poskytovateli podpory z národních programů podpory. </w:t>
      </w:r>
      <w:r w:rsidR="00FE0F1C">
        <w:rPr>
          <w:lang w:bidi="ar-SA"/>
        </w:rPr>
        <w:t xml:space="preserve">Jak vyplynulo z terénního šetření, ačkoliv MAPS vznikla již v roce 2016, koordinační mechanizmy se daří nastavovat až v posledním období. </w:t>
      </w:r>
    </w:p>
    <w:p w14:paraId="5BFD7A03" w14:textId="77777777" w:rsidR="00FE0F1C" w:rsidRDefault="00FE0F1C" w:rsidP="00E90E13">
      <w:pPr>
        <w:rPr>
          <w:lang w:bidi="ar-SA"/>
        </w:rPr>
      </w:pPr>
      <w:r w:rsidRPr="00F74DA9">
        <w:rPr>
          <w:b/>
          <w:lang w:bidi="ar-SA"/>
        </w:rPr>
        <w:t>Absence koordinace</w:t>
      </w:r>
      <w:r>
        <w:rPr>
          <w:lang w:bidi="ar-SA"/>
        </w:rPr>
        <w:t xml:space="preserve"> se projevila zejména na počátku programovacího období, neboť to byl klíčový moment, kdy se vyhlašovalo nejvíce výzev. </w:t>
      </w:r>
      <w:r w:rsidR="00917B88">
        <w:rPr>
          <w:lang w:bidi="ar-SA"/>
        </w:rPr>
        <w:t xml:space="preserve">V důsledku slabé koordinace jednotliví poskytovatelé dotací (z ESIF i národních prostředků) uchopili problematiku RIS3 „po svém“ a to se projevilo </w:t>
      </w:r>
      <w:r>
        <w:rPr>
          <w:lang w:bidi="ar-SA"/>
        </w:rPr>
        <w:t>např. nejednotnost</w:t>
      </w:r>
      <w:r w:rsidR="00917B88">
        <w:rPr>
          <w:lang w:bidi="ar-SA"/>
        </w:rPr>
        <w:t>í</w:t>
      </w:r>
      <w:r>
        <w:rPr>
          <w:lang w:bidi="ar-SA"/>
        </w:rPr>
        <w:t xml:space="preserve"> podoby výběrových kritérií a způsobu hodnocení souladu projektových žádostí s Národní RIS3 strategií. </w:t>
      </w:r>
      <w:r w:rsidR="00F74DA9">
        <w:rPr>
          <w:lang w:bidi="ar-SA"/>
        </w:rPr>
        <w:t xml:space="preserve">To mělo za následek </w:t>
      </w:r>
      <w:r w:rsidR="00F91B61">
        <w:rPr>
          <w:lang w:bidi="ar-SA"/>
        </w:rPr>
        <w:t xml:space="preserve">širší </w:t>
      </w:r>
      <w:r w:rsidR="00F74DA9">
        <w:rPr>
          <w:lang w:bidi="ar-SA"/>
        </w:rPr>
        <w:t xml:space="preserve">podporu projektů </w:t>
      </w:r>
      <w:r w:rsidR="00F91B61">
        <w:rPr>
          <w:lang w:bidi="ar-SA"/>
        </w:rPr>
        <w:t xml:space="preserve"> s omezeným</w:t>
      </w:r>
      <w:r w:rsidR="00F74DA9">
        <w:rPr>
          <w:lang w:bidi="ar-SA"/>
        </w:rPr>
        <w:t xml:space="preserve"> </w:t>
      </w:r>
      <w:r w:rsidR="00F91B61">
        <w:rPr>
          <w:lang w:bidi="ar-SA"/>
        </w:rPr>
        <w:t>za</w:t>
      </w:r>
      <w:r w:rsidR="00F74DA9">
        <w:rPr>
          <w:lang w:bidi="ar-SA"/>
        </w:rPr>
        <w:t>cílení</w:t>
      </w:r>
      <w:r w:rsidR="00F91B61">
        <w:rPr>
          <w:lang w:bidi="ar-SA"/>
        </w:rPr>
        <w:t>m</w:t>
      </w:r>
      <w:r w:rsidR="00F74DA9">
        <w:rPr>
          <w:lang w:bidi="ar-SA"/>
        </w:rPr>
        <w:t xml:space="preserve"> do </w:t>
      </w:r>
      <w:r w:rsidR="00A338C5">
        <w:rPr>
          <w:lang w:bidi="ar-SA"/>
        </w:rPr>
        <w:t>národních domén inteligentní specializace</w:t>
      </w:r>
      <w:r w:rsidR="00A338C5">
        <w:rPr>
          <w:rStyle w:val="Znakapoznpodarou"/>
          <w:lang w:bidi="ar-SA"/>
        </w:rPr>
        <w:footnoteReference w:id="62"/>
      </w:r>
      <w:r w:rsidR="00A338C5">
        <w:rPr>
          <w:lang w:bidi="ar-SA"/>
        </w:rPr>
        <w:t>.</w:t>
      </w:r>
      <w:r w:rsidR="00F74DA9">
        <w:rPr>
          <w:lang w:bidi="ar-SA"/>
        </w:rPr>
        <w:t xml:space="preserve"> </w:t>
      </w:r>
    </w:p>
    <w:p w14:paraId="263EB51C" w14:textId="77777777" w:rsidR="00B2484F" w:rsidRDefault="00917B88" w:rsidP="00E90E13">
      <w:pPr>
        <w:rPr>
          <w:lang w:bidi="ar-SA"/>
        </w:rPr>
      </w:pPr>
      <w:r>
        <w:rPr>
          <w:lang w:bidi="ar-SA"/>
        </w:rPr>
        <w:t xml:space="preserve">Je nutné konstatovat, že v současném programovacím období již většina výzev byla vyhlášena a finanční prostředky byly alokovány bez nějaké „centrální supervize“. Pro příští programovací období je však nezbytné, aby ze strany Národního RIS3 koordinátora byla uplatňována </w:t>
      </w:r>
      <w:r w:rsidRPr="000C5A9E">
        <w:rPr>
          <w:b/>
          <w:lang w:bidi="ar-SA"/>
        </w:rPr>
        <w:t>silná míra koordinace vůči poskytovatelům dotací</w:t>
      </w:r>
      <w:r>
        <w:rPr>
          <w:lang w:bidi="ar-SA"/>
        </w:rPr>
        <w:t xml:space="preserve"> a lze se domnívat, že MAPS představuje vhodnou pracovní platformu, </w:t>
      </w:r>
      <w:r w:rsidR="004D5F3F">
        <w:rPr>
          <w:lang w:bidi="ar-SA"/>
        </w:rPr>
        <w:t xml:space="preserve">kde je možné propisování Národní RIS3 strategie do konkrétních intervencí a způsobu jejich realizace účinně koordinovat. </w:t>
      </w:r>
    </w:p>
    <w:p w14:paraId="4EB6BBDA" w14:textId="77777777" w:rsidR="00745D38" w:rsidRPr="00BD6D63" w:rsidRDefault="00745D38" w:rsidP="00E90E13">
      <w:pPr>
        <w:rPr>
          <w:b/>
          <w:i/>
          <w:u w:val="single"/>
          <w:lang w:bidi="ar-SA"/>
        </w:rPr>
      </w:pPr>
      <w:r w:rsidRPr="00BD6D63">
        <w:rPr>
          <w:b/>
          <w:i/>
          <w:u w:val="single"/>
          <w:lang w:bidi="ar-SA"/>
        </w:rPr>
        <w:t>Národní inovační platformy</w:t>
      </w:r>
    </w:p>
    <w:p w14:paraId="53517B60" w14:textId="77777777" w:rsidR="00BD6D63" w:rsidRDefault="00BD6D63" w:rsidP="00E90E13">
      <w:pPr>
        <w:rPr>
          <w:lang w:bidi="ar-SA"/>
        </w:rPr>
      </w:pPr>
      <w:r>
        <w:rPr>
          <w:lang w:bidi="ar-SA"/>
        </w:rPr>
        <w:t>NIP jsou klíčovým článkem v procesu podnikatelského objevování (EDP), který je základním konceptem S3 strategií (průběh EDP je blíže analyzován v následující kapitole). Aktuálně působí v rámci Národní RIS3 strategie 7 NIP, které svým zaměřením v podstatě odpovídají identifikovaným oblastem inteligentní specializace:</w:t>
      </w:r>
    </w:p>
    <w:p w14:paraId="77F70244" w14:textId="77777777" w:rsidR="00BD6D63" w:rsidRDefault="00BD6D63" w:rsidP="00140906">
      <w:pPr>
        <w:pStyle w:val="Odstavecseseznamem"/>
        <w:numPr>
          <w:ilvl w:val="0"/>
          <w:numId w:val="30"/>
        </w:numPr>
        <w:rPr>
          <w:lang w:bidi="ar-SA"/>
        </w:rPr>
      </w:pPr>
      <w:r>
        <w:rPr>
          <w:lang w:bidi="ar-SA"/>
        </w:rPr>
        <w:t>Strojírenství, energetika, hutnictví a průmyslová chemie</w:t>
      </w:r>
    </w:p>
    <w:p w14:paraId="5A1ED639" w14:textId="77777777" w:rsidR="00BD6D63" w:rsidRDefault="00BD6D63" w:rsidP="00140906">
      <w:pPr>
        <w:pStyle w:val="Odstavecseseznamem"/>
        <w:numPr>
          <w:ilvl w:val="0"/>
          <w:numId w:val="30"/>
        </w:numPr>
        <w:rPr>
          <w:lang w:bidi="ar-SA"/>
        </w:rPr>
      </w:pPr>
      <w:r>
        <w:rPr>
          <w:lang w:bidi="ar-SA"/>
        </w:rPr>
        <w:t>Elektronika, elektrotechnika a ICT</w:t>
      </w:r>
    </w:p>
    <w:p w14:paraId="6C0D3BB8" w14:textId="77777777" w:rsidR="00BD6D63" w:rsidRDefault="00BD6D63" w:rsidP="00140906">
      <w:pPr>
        <w:pStyle w:val="Odstavecseseznamem"/>
        <w:numPr>
          <w:ilvl w:val="0"/>
          <w:numId w:val="30"/>
        </w:numPr>
        <w:rPr>
          <w:lang w:bidi="ar-SA"/>
        </w:rPr>
      </w:pPr>
      <w:r>
        <w:rPr>
          <w:lang w:bidi="ar-SA"/>
        </w:rPr>
        <w:t>Výroba dopravních prostředků</w:t>
      </w:r>
    </w:p>
    <w:p w14:paraId="52B8FB14" w14:textId="77777777" w:rsidR="00BD6D63" w:rsidRDefault="00BD6D63" w:rsidP="00140906">
      <w:pPr>
        <w:pStyle w:val="Odstavecseseznamem"/>
        <w:numPr>
          <w:ilvl w:val="0"/>
          <w:numId w:val="30"/>
        </w:numPr>
        <w:rPr>
          <w:lang w:bidi="ar-SA"/>
        </w:rPr>
      </w:pPr>
      <w:r>
        <w:rPr>
          <w:lang w:bidi="ar-SA"/>
        </w:rPr>
        <w:t>Léčiva, biotechnologie, prostředky zdravotnické techniky, life science</w:t>
      </w:r>
    </w:p>
    <w:p w14:paraId="1D850436" w14:textId="77777777" w:rsidR="00BB32CD" w:rsidRDefault="00BB32CD" w:rsidP="00140906">
      <w:pPr>
        <w:pStyle w:val="Odstavecseseznamem"/>
        <w:numPr>
          <w:ilvl w:val="0"/>
          <w:numId w:val="30"/>
        </w:numPr>
        <w:rPr>
          <w:lang w:bidi="ar-SA"/>
        </w:rPr>
      </w:pPr>
      <w:r>
        <w:rPr>
          <w:lang w:bidi="ar-SA"/>
        </w:rPr>
        <w:lastRenderedPageBreak/>
        <w:t>Kulturní a kreativní odvětví</w:t>
      </w:r>
    </w:p>
    <w:p w14:paraId="12FF4C35" w14:textId="77777777" w:rsidR="00BB32CD" w:rsidRDefault="00BB32CD" w:rsidP="00140906">
      <w:pPr>
        <w:pStyle w:val="Odstavecseseznamem"/>
        <w:numPr>
          <w:ilvl w:val="0"/>
          <w:numId w:val="30"/>
        </w:numPr>
        <w:rPr>
          <w:lang w:bidi="ar-SA"/>
        </w:rPr>
      </w:pPr>
      <w:r>
        <w:rPr>
          <w:lang w:bidi="ar-SA"/>
        </w:rPr>
        <w:t>Udržitelné zemědělství a environmentální aplikační odvětví</w:t>
      </w:r>
    </w:p>
    <w:p w14:paraId="671B56C2" w14:textId="77777777" w:rsidR="00BB32CD" w:rsidRDefault="00BB32CD" w:rsidP="00140906">
      <w:pPr>
        <w:pStyle w:val="Odstavecseseznamem"/>
        <w:numPr>
          <w:ilvl w:val="0"/>
          <w:numId w:val="30"/>
        </w:numPr>
        <w:rPr>
          <w:lang w:bidi="ar-SA"/>
        </w:rPr>
      </w:pPr>
      <w:r>
        <w:rPr>
          <w:lang w:bidi="ar-SA"/>
        </w:rPr>
        <w:t>Společenské výzvy</w:t>
      </w:r>
    </w:p>
    <w:p w14:paraId="1EDC3196" w14:textId="77777777" w:rsidR="00BD6D63" w:rsidRDefault="00BB32CD" w:rsidP="00BB32CD">
      <w:pPr>
        <w:rPr>
          <w:lang w:bidi="ar-SA"/>
        </w:rPr>
      </w:pPr>
      <w:r>
        <w:rPr>
          <w:lang w:bidi="ar-SA"/>
        </w:rPr>
        <w:t xml:space="preserve">Složení NIP odpovídá konceptu triple helix, tzn. že v NIP jsou zástupci významných představitelů aplikační sféry (podnikatelské subjekty), zástupci předních výzkumných organizací, zástupci veřejné správy a krajů. </w:t>
      </w:r>
      <w:r w:rsidR="0004366A">
        <w:rPr>
          <w:lang w:bidi="ar-SA"/>
        </w:rPr>
        <w:t xml:space="preserve">Relativně rovnoměrné zastoupení zástupců triple helix potvrdilo i terénní šetření mezi členy NIP. </w:t>
      </w:r>
      <w:r w:rsidR="00BD6D63">
        <w:rPr>
          <w:lang w:bidi="ar-SA"/>
        </w:rPr>
        <w:t xml:space="preserve"> </w:t>
      </w:r>
    </w:p>
    <w:p w14:paraId="00670A8F" w14:textId="77777777" w:rsidR="00BB5677" w:rsidRDefault="00BB32CD" w:rsidP="0004366A">
      <w:pPr>
        <w:rPr>
          <w:lang w:bidi="ar-SA"/>
        </w:rPr>
      </w:pPr>
      <w:r>
        <w:rPr>
          <w:lang w:bidi="ar-SA"/>
        </w:rPr>
        <w:t xml:space="preserve">Vlastní fungování NIP provázejí mnohá úskalí, která byla identifikována terénním šetřením přímo u členů NIP, příp. dalších stakeholderů. </w:t>
      </w:r>
      <w:r w:rsidR="00926A11">
        <w:rPr>
          <w:lang w:bidi="ar-SA"/>
        </w:rPr>
        <w:t xml:space="preserve">Fundamentálním problémem, zejména na straně podnikatelského sektoru, je </w:t>
      </w:r>
      <w:r w:rsidR="00926A11" w:rsidRPr="0004366A">
        <w:rPr>
          <w:b/>
          <w:lang w:bidi="ar-SA"/>
        </w:rPr>
        <w:t>ztráta důvěry ve smysluplnost</w:t>
      </w:r>
      <w:r w:rsidR="00926A11">
        <w:rPr>
          <w:lang w:bidi="ar-SA"/>
        </w:rPr>
        <w:t xml:space="preserve"> těchto struktur a účasti v nich. To se mimo jiné projevilo i tím, že ačkoliv byli v terénním šetření osloveni registrovaní členové NIP dle aktuálních seznamů, tak z těch, kteří se rozhodli vyplnit dotazník (71) týkající se Národní RIS3 strategie, jich celá třetina (33 %) prohlásila, že v žádné NIP</w:t>
      </w:r>
      <w:r w:rsidR="0004366A" w:rsidRPr="0004366A">
        <w:rPr>
          <w:lang w:bidi="ar-SA"/>
        </w:rPr>
        <w:t xml:space="preserve"> </w:t>
      </w:r>
      <w:r w:rsidR="0004366A">
        <w:rPr>
          <w:lang w:bidi="ar-SA"/>
        </w:rPr>
        <w:t>nepůsobí</w:t>
      </w:r>
      <w:r w:rsidR="00926A11">
        <w:rPr>
          <w:lang w:bidi="ar-SA"/>
        </w:rPr>
        <w:t xml:space="preserve">. </w:t>
      </w:r>
      <w:r w:rsidR="00BB5677">
        <w:rPr>
          <w:lang w:bidi="ar-SA"/>
        </w:rPr>
        <w:t xml:space="preserve">To koresponduje i se snižujícím se zájmem stakeholderů účastnit se EDP procesu, resp. </w:t>
      </w:r>
      <w:r w:rsidR="00D87319">
        <w:rPr>
          <w:lang w:bidi="ar-SA"/>
        </w:rPr>
        <w:t xml:space="preserve">jejich </w:t>
      </w:r>
      <w:r w:rsidR="00BB5677">
        <w:rPr>
          <w:lang w:bidi="ar-SA"/>
        </w:rPr>
        <w:t xml:space="preserve">absence na jednáních NIP, příp. </w:t>
      </w:r>
      <w:r w:rsidR="00F91B61">
        <w:rPr>
          <w:lang w:bidi="ar-SA"/>
        </w:rPr>
        <w:t>složitou motivaci ke</w:t>
      </w:r>
      <w:r w:rsidR="00BB5677">
        <w:rPr>
          <w:lang w:bidi="ar-SA"/>
        </w:rPr>
        <w:t xml:space="preserve"> členství v NIP, které by naopak mělo být vnímáno jako prestižní záležitost. </w:t>
      </w:r>
    </w:p>
    <w:p w14:paraId="0C0CB2DF" w14:textId="77777777" w:rsidR="0004366A" w:rsidRPr="0004366A" w:rsidRDefault="0004366A" w:rsidP="0004366A">
      <w:pPr>
        <w:rPr>
          <w:lang w:bidi="ar-SA"/>
        </w:rPr>
      </w:pPr>
      <w:r>
        <w:rPr>
          <w:lang w:bidi="ar-SA"/>
        </w:rPr>
        <w:t>S tím úzce souvisí i vnímání celkové implementace Národní RIS3, kdy téměř čtvrtina respondentů (23 %) ze členů NIP nepovažuje implementační strukturu za optimálně nastavenou, přičemž nejčastější výhrady směřují k </w:t>
      </w:r>
      <w:r w:rsidRPr="0004366A">
        <w:rPr>
          <w:b/>
          <w:lang w:bidi="ar-SA"/>
        </w:rPr>
        <w:t>nedostatečnému využívání potenciálu NIP</w:t>
      </w:r>
      <w:r w:rsidR="001167B8">
        <w:rPr>
          <w:b/>
          <w:lang w:bidi="ar-SA"/>
        </w:rPr>
        <w:t xml:space="preserve">, </w:t>
      </w:r>
      <w:r w:rsidRPr="0004366A">
        <w:rPr>
          <w:b/>
          <w:lang w:bidi="ar-SA"/>
        </w:rPr>
        <w:t>omezenému přenosu impulsů vzešlých z činnosti NIP na řídicí úroveň</w:t>
      </w:r>
      <w:r w:rsidR="001167B8">
        <w:rPr>
          <w:b/>
          <w:lang w:bidi="ar-SA"/>
        </w:rPr>
        <w:t xml:space="preserve"> a nesystematick</w:t>
      </w:r>
      <w:r w:rsidR="00D87319">
        <w:rPr>
          <w:b/>
          <w:lang w:bidi="ar-SA"/>
        </w:rPr>
        <w:t>é</w:t>
      </w:r>
      <w:r w:rsidR="001167B8">
        <w:rPr>
          <w:b/>
          <w:lang w:bidi="ar-SA"/>
        </w:rPr>
        <w:t xml:space="preserve"> činnost</w:t>
      </w:r>
      <w:r w:rsidR="00D87319">
        <w:rPr>
          <w:b/>
          <w:lang w:bidi="ar-SA"/>
        </w:rPr>
        <w:t>i</w:t>
      </w:r>
      <w:r w:rsidR="001167B8">
        <w:rPr>
          <w:b/>
          <w:lang w:bidi="ar-SA"/>
        </w:rPr>
        <w:t xml:space="preserve"> NIP</w:t>
      </w:r>
      <w:r>
        <w:rPr>
          <w:lang w:bidi="ar-SA"/>
        </w:rPr>
        <w:t xml:space="preserve">. </w:t>
      </w:r>
    </w:p>
    <w:p w14:paraId="5E36BADA" w14:textId="3FF18C9F" w:rsidR="0004366A" w:rsidRDefault="00846CAE" w:rsidP="00BB32CD">
      <w:pPr>
        <w:rPr>
          <w:lang w:bidi="ar-SA"/>
        </w:rPr>
      </w:pPr>
      <w:r>
        <w:rPr>
          <w:lang w:bidi="ar-SA"/>
        </w:rPr>
        <w:t>Zejména v předchozích letech fungování platforem lze identifikovat absenci „jasného úkolu a</w:t>
      </w:r>
      <w:r w:rsidR="00AC30EA">
        <w:rPr>
          <w:lang w:bidi="ar-SA"/>
        </w:rPr>
        <w:t> </w:t>
      </w:r>
      <w:r>
        <w:rPr>
          <w:lang w:bidi="ar-SA"/>
        </w:rPr>
        <w:t>zadání“</w:t>
      </w:r>
      <w:r w:rsidR="005725C1">
        <w:rPr>
          <w:lang w:bidi="ar-SA"/>
        </w:rPr>
        <w:t xml:space="preserve"> pro NIP</w:t>
      </w:r>
      <w:r>
        <w:rPr>
          <w:lang w:bidi="ar-SA"/>
        </w:rPr>
        <w:t>. Jednání platforem se mnohdy zredukovalo na informační tok od nositele Národní RIS3 strategie směrem ke členům NIP, což zcela popírá základní principy EDP</w:t>
      </w:r>
      <w:r w:rsidRPr="00846CAE">
        <w:rPr>
          <w:lang w:bidi="ar-SA"/>
        </w:rPr>
        <w:t xml:space="preserve"> </w:t>
      </w:r>
      <w:r>
        <w:rPr>
          <w:lang w:bidi="ar-SA"/>
        </w:rPr>
        <w:t xml:space="preserve">procesu (opačný tok informací). </w:t>
      </w:r>
    </w:p>
    <w:p w14:paraId="74AB1AFE" w14:textId="2E2C1FF8" w:rsidR="00BB32CD" w:rsidRDefault="001167B8" w:rsidP="00BB32CD">
      <w:pPr>
        <w:rPr>
          <w:lang w:bidi="ar-SA"/>
        </w:rPr>
      </w:pPr>
      <w:r>
        <w:rPr>
          <w:lang w:bidi="ar-SA"/>
        </w:rPr>
        <w:t>Významným problémem je také odbornost týmů jednotlivých NIP. Členové NIP to</w:t>
      </w:r>
      <w:r w:rsidR="00D87319">
        <w:rPr>
          <w:lang w:bidi="ar-SA"/>
        </w:rPr>
        <w:t>t</w:t>
      </w:r>
      <w:r>
        <w:rPr>
          <w:lang w:bidi="ar-SA"/>
        </w:rPr>
        <w:t>o sami hodnotí jako slabou stránku fungování NIP. Expertní týmy musí být vybaveny znalostí celosvětových i</w:t>
      </w:r>
      <w:r w:rsidR="007773ED">
        <w:rPr>
          <w:lang w:bidi="ar-SA"/>
        </w:rPr>
        <w:t> </w:t>
      </w:r>
      <w:r>
        <w:rPr>
          <w:lang w:bidi="ar-SA"/>
        </w:rPr>
        <w:t xml:space="preserve">evropských trendů, musí být schopny využívat participativního přístupu a efektivně organizovat stakeholdery. </w:t>
      </w:r>
    </w:p>
    <w:p w14:paraId="63378313" w14:textId="77777777" w:rsidR="001167B8" w:rsidRPr="005E703D" w:rsidRDefault="001167B8" w:rsidP="00BB32CD">
      <w:pPr>
        <w:rPr>
          <w:lang w:bidi="ar-SA"/>
        </w:rPr>
      </w:pPr>
      <w:r>
        <w:rPr>
          <w:lang w:bidi="ar-SA"/>
        </w:rPr>
        <w:t>Evaluátor nepovažuje za vhodn</w:t>
      </w:r>
      <w:r w:rsidR="00D87319">
        <w:rPr>
          <w:lang w:bidi="ar-SA"/>
        </w:rPr>
        <w:t>ou současnou praxi</w:t>
      </w:r>
      <w:r w:rsidR="006C5AA5">
        <w:rPr>
          <w:lang w:bidi="ar-SA"/>
        </w:rPr>
        <w:t xml:space="preserve">, </w:t>
      </w:r>
      <w:r w:rsidR="00D87319">
        <w:rPr>
          <w:lang w:bidi="ar-SA"/>
        </w:rPr>
        <w:t>kdy</w:t>
      </w:r>
      <w:r w:rsidR="006C5AA5">
        <w:rPr>
          <w:lang w:bidi="ar-SA"/>
        </w:rPr>
        <w:t xml:space="preserve"> Národní RIS3 manažer předsed</w:t>
      </w:r>
      <w:r w:rsidR="00D87319">
        <w:rPr>
          <w:lang w:bidi="ar-SA"/>
        </w:rPr>
        <w:t>á a fakticky řídí</w:t>
      </w:r>
      <w:r w:rsidR="006C5AA5">
        <w:rPr>
          <w:lang w:bidi="ar-SA"/>
        </w:rPr>
        <w:t xml:space="preserve"> </w:t>
      </w:r>
      <w:r w:rsidR="00D87319">
        <w:rPr>
          <w:lang w:bidi="ar-SA"/>
        </w:rPr>
        <w:t xml:space="preserve">jednání </w:t>
      </w:r>
      <w:r w:rsidR="006C5AA5">
        <w:rPr>
          <w:lang w:bidi="ar-SA"/>
        </w:rPr>
        <w:t>národní</w:t>
      </w:r>
      <w:r w:rsidR="00D87319">
        <w:rPr>
          <w:lang w:bidi="ar-SA"/>
        </w:rPr>
        <w:t>ch</w:t>
      </w:r>
      <w:r w:rsidR="006C5AA5">
        <w:rPr>
          <w:lang w:bidi="ar-SA"/>
        </w:rPr>
        <w:t xml:space="preserve"> inovační</w:t>
      </w:r>
      <w:r w:rsidR="00D87319">
        <w:rPr>
          <w:lang w:bidi="ar-SA"/>
        </w:rPr>
        <w:t>ch</w:t>
      </w:r>
      <w:r w:rsidR="006C5AA5">
        <w:rPr>
          <w:lang w:bidi="ar-SA"/>
        </w:rPr>
        <w:t xml:space="preserve"> platfor</w:t>
      </w:r>
      <w:r w:rsidR="00D87319">
        <w:rPr>
          <w:lang w:bidi="ar-SA"/>
        </w:rPr>
        <w:t xml:space="preserve">em. </w:t>
      </w:r>
      <w:r w:rsidR="006C5AA5">
        <w:rPr>
          <w:lang w:bidi="ar-SA"/>
        </w:rPr>
        <w:t xml:space="preserve">Evaluátor se domnívá, a výstupy terénního šetření to jednoznačně potvrzují, že v čele NIP by měl stát </w:t>
      </w:r>
      <w:r w:rsidR="006C5AA5" w:rsidRPr="006C5AA5">
        <w:rPr>
          <w:b/>
          <w:lang w:bidi="ar-SA"/>
        </w:rPr>
        <w:t>odborný garant</w:t>
      </w:r>
      <w:r w:rsidR="006C5AA5">
        <w:rPr>
          <w:lang w:bidi="ar-SA"/>
        </w:rPr>
        <w:t xml:space="preserve">. Facilitace expertních diskusí NIP by měla být přenechána </w:t>
      </w:r>
      <w:r w:rsidR="006C5AA5" w:rsidRPr="006C5AA5">
        <w:rPr>
          <w:b/>
          <w:lang w:bidi="ar-SA"/>
        </w:rPr>
        <w:t xml:space="preserve">erudovaným odborníkům daného </w:t>
      </w:r>
      <w:r w:rsidR="00125D41">
        <w:rPr>
          <w:b/>
          <w:lang w:bidi="ar-SA"/>
        </w:rPr>
        <w:t xml:space="preserve">výzkumného </w:t>
      </w:r>
      <w:r w:rsidR="006C5AA5" w:rsidRPr="006C5AA5">
        <w:rPr>
          <w:b/>
          <w:lang w:bidi="ar-SA"/>
        </w:rPr>
        <w:t>sektoru</w:t>
      </w:r>
      <w:r w:rsidR="006C5AA5">
        <w:rPr>
          <w:lang w:bidi="ar-SA"/>
        </w:rPr>
        <w:t xml:space="preserve"> (prioritního oboru), kteří budou schopni vést diskusi na </w:t>
      </w:r>
      <w:r w:rsidR="006C5AA5" w:rsidRPr="006C5AA5">
        <w:rPr>
          <w:b/>
          <w:lang w:bidi="ar-SA"/>
        </w:rPr>
        <w:t>vysoké odborné úrovni</w:t>
      </w:r>
      <w:r w:rsidR="006C5AA5">
        <w:rPr>
          <w:lang w:bidi="ar-SA"/>
        </w:rPr>
        <w:t xml:space="preserve"> a budou </w:t>
      </w:r>
      <w:r w:rsidR="006C5AA5" w:rsidRPr="006C5AA5">
        <w:rPr>
          <w:lang w:bidi="ar-SA"/>
        </w:rPr>
        <w:t xml:space="preserve">považováni </w:t>
      </w:r>
      <w:r w:rsidR="006C5AA5">
        <w:rPr>
          <w:lang w:bidi="ar-SA"/>
        </w:rPr>
        <w:t xml:space="preserve">ostatními stakeholdery </w:t>
      </w:r>
      <w:r w:rsidR="006C5AA5" w:rsidRPr="006C5AA5">
        <w:rPr>
          <w:lang w:bidi="ar-SA"/>
        </w:rPr>
        <w:t>za</w:t>
      </w:r>
      <w:r w:rsidR="006C5AA5" w:rsidRPr="006C5AA5">
        <w:rPr>
          <w:b/>
          <w:lang w:bidi="ar-SA"/>
        </w:rPr>
        <w:t xml:space="preserve"> odborné autority</w:t>
      </w:r>
      <w:r w:rsidR="006C5AA5">
        <w:rPr>
          <w:lang w:bidi="ar-SA"/>
        </w:rPr>
        <w:t xml:space="preserve">. </w:t>
      </w:r>
      <w:r w:rsidR="00D87319">
        <w:rPr>
          <w:lang w:bidi="ar-SA"/>
        </w:rPr>
        <w:t xml:space="preserve">Role Národního RIS3 manažera by měla zůstat pouze v rovině </w:t>
      </w:r>
      <w:r w:rsidR="00544018">
        <w:rPr>
          <w:lang w:bidi="ar-SA"/>
        </w:rPr>
        <w:t xml:space="preserve">přenosu informací o výsledcích EDP a koordinace. </w:t>
      </w:r>
    </w:p>
    <w:p w14:paraId="63AC5308" w14:textId="77777777" w:rsidR="00935F02" w:rsidRDefault="006107DB" w:rsidP="00246ECF">
      <w:pPr>
        <w:pStyle w:val="Nadpis2"/>
        <w:keepNext/>
        <w:keepLines/>
        <w:numPr>
          <w:ilvl w:val="0"/>
          <w:numId w:val="0"/>
        </w:numPr>
        <w:pBdr>
          <w:top w:val="none" w:sz="0" w:space="0" w:color="auto"/>
          <w:left w:val="none" w:sz="0" w:space="0" w:color="auto"/>
        </w:pBdr>
        <w:shd w:val="clear" w:color="auto" w:fill="auto"/>
        <w:spacing w:before="200" w:after="0"/>
        <w:rPr>
          <w:rFonts w:asciiTheme="majorHAnsi" w:eastAsiaTheme="majorEastAsia" w:hAnsiTheme="majorHAnsi" w:cstheme="majorBidi"/>
          <w:bCs/>
          <w:color w:val="004B8D"/>
          <w:spacing w:val="0"/>
          <w:szCs w:val="26"/>
          <w:lang w:bidi="ar-SA"/>
        </w:rPr>
      </w:pPr>
      <w:bookmarkStart w:id="100" w:name="_Toc5626477"/>
      <w:r>
        <w:rPr>
          <w:rFonts w:asciiTheme="majorHAnsi" w:eastAsiaTheme="majorEastAsia" w:hAnsiTheme="majorHAnsi" w:cstheme="majorBidi"/>
          <w:bCs/>
          <w:color w:val="004B8D"/>
          <w:spacing w:val="0"/>
          <w:szCs w:val="26"/>
          <w:lang w:bidi="ar-SA"/>
        </w:rPr>
        <w:lastRenderedPageBreak/>
        <w:t>6</w:t>
      </w:r>
      <w:r w:rsidR="00BC48D1" w:rsidRPr="00BC48D1">
        <w:rPr>
          <w:rFonts w:asciiTheme="majorHAnsi" w:eastAsiaTheme="majorEastAsia" w:hAnsiTheme="majorHAnsi" w:cstheme="majorBidi"/>
          <w:bCs/>
          <w:color w:val="004B8D"/>
          <w:spacing w:val="0"/>
          <w:szCs w:val="26"/>
          <w:lang w:bidi="ar-SA"/>
        </w:rPr>
        <w:t xml:space="preserve">.2 </w:t>
      </w:r>
      <w:r w:rsidR="00BD7BA9">
        <w:rPr>
          <w:rFonts w:asciiTheme="majorHAnsi" w:eastAsiaTheme="majorEastAsia" w:hAnsiTheme="majorHAnsi" w:cstheme="majorBidi"/>
          <w:bCs/>
          <w:color w:val="004B8D"/>
          <w:spacing w:val="0"/>
          <w:szCs w:val="26"/>
          <w:lang w:bidi="ar-SA"/>
        </w:rPr>
        <w:t>Entrepreneurial discovery proces</w:t>
      </w:r>
      <w:bookmarkEnd w:id="100"/>
      <w:r w:rsidR="00BC48D1" w:rsidRPr="00BC48D1">
        <w:rPr>
          <w:rFonts w:asciiTheme="majorHAnsi" w:eastAsiaTheme="majorEastAsia" w:hAnsiTheme="majorHAnsi" w:cstheme="majorBidi"/>
          <w:bCs/>
          <w:color w:val="004B8D"/>
          <w:spacing w:val="0"/>
          <w:szCs w:val="26"/>
          <w:lang w:bidi="ar-SA"/>
        </w:rPr>
        <w:t xml:space="preserve"> </w:t>
      </w:r>
    </w:p>
    <w:p w14:paraId="64FA3FA8" w14:textId="77777777" w:rsidR="00E30808" w:rsidRDefault="00E30808" w:rsidP="00E30808">
      <w:pPr>
        <w:rPr>
          <w:lang w:bidi="ar-SA"/>
        </w:rPr>
      </w:pPr>
      <w:r>
        <w:rPr>
          <w:lang w:bidi="ar-SA"/>
        </w:rPr>
        <w:t xml:space="preserve">EDP proces </w:t>
      </w:r>
      <w:r w:rsidR="00CF653F">
        <w:rPr>
          <w:lang w:bidi="ar-SA"/>
        </w:rPr>
        <w:t xml:space="preserve">(proces objevování podnikatelských příležitostí) představuje zásadní koncepční přístup k tvorbě a implementaci </w:t>
      </w:r>
      <w:r w:rsidR="00164C4B">
        <w:rPr>
          <w:lang w:bidi="ar-SA"/>
        </w:rPr>
        <w:t xml:space="preserve">evropských RIS3 strategií. Klíčové </w:t>
      </w:r>
      <w:r w:rsidR="00164C4B" w:rsidRPr="00990A7E">
        <w:rPr>
          <w:bCs/>
          <w:szCs w:val="22"/>
        </w:rPr>
        <w:t>rysy</w:t>
      </w:r>
      <w:r w:rsidR="00164C4B">
        <w:rPr>
          <w:bCs/>
          <w:szCs w:val="22"/>
        </w:rPr>
        <w:t xml:space="preserve"> tohoto procesu</w:t>
      </w:r>
      <w:r w:rsidR="00164C4B" w:rsidRPr="00990A7E">
        <w:rPr>
          <w:bCs/>
          <w:szCs w:val="22"/>
        </w:rPr>
        <w:t xml:space="preserve"> jsou charakterizovány takto</w:t>
      </w:r>
      <w:r w:rsidR="00164C4B" w:rsidRPr="00990A7E">
        <w:rPr>
          <w:rStyle w:val="Znakapoznpodarou"/>
          <w:bCs/>
          <w:szCs w:val="22"/>
        </w:rPr>
        <w:footnoteReference w:id="63"/>
      </w:r>
      <w:r w:rsidR="00164C4B" w:rsidRPr="00990A7E">
        <w:rPr>
          <w:bCs/>
          <w:szCs w:val="22"/>
        </w:rPr>
        <w:t>:</w:t>
      </w:r>
    </w:p>
    <w:p w14:paraId="6F69037E" w14:textId="28C2D466" w:rsidR="00164C4B" w:rsidRPr="00164C4B" w:rsidRDefault="00164C4B" w:rsidP="00140906">
      <w:pPr>
        <w:pStyle w:val="Odstavecseseznamem"/>
        <w:numPr>
          <w:ilvl w:val="2"/>
          <w:numId w:val="34"/>
        </w:numPr>
        <w:ind w:left="709" w:hanging="425"/>
        <w:rPr>
          <w:bCs/>
          <w:szCs w:val="22"/>
        </w:rPr>
      </w:pPr>
      <w:r w:rsidRPr="00164C4B">
        <w:rPr>
          <w:bCs/>
          <w:szCs w:val="22"/>
        </w:rPr>
        <w:t>účastníci z různých prostředí (triple</w:t>
      </w:r>
      <w:r>
        <w:rPr>
          <w:bCs/>
          <w:szCs w:val="22"/>
        </w:rPr>
        <w:t>/quadruple</w:t>
      </w:r>
      <w:r w:rsidRPr="00164C4B">
        <w:rPr>
          <w:bCs/>
          <w:szCs w:val="22"/>
        </w:rPr>
        <w:t xml:space="preserve"> helix) </w:t>
      </w:r>
      <w:r w:rsidRPr="00164C4B">
        <w:rPr>
          <w:b/>
          <w:bCs/>
          <w:szCs w:val="22"/>
        </w:rPr>
        <w:t>objevují a diskutují informace o</w:t>
      </w:r>
      <w:r w:rsidR="00866B1C">
        <w:rPr>
          <w:b/>
          <w:bCs/>
          <w:szCs w:val="22"/>
        </w:rPr>
        <w:t> </w:t>
      </w:r>
      <w:r w:rsidRPr="00164C4B">
        <w:rPr>
          <w:b/>
          <w:bCs/>
          <w:szCs w:val="22"/>
        </w:rPr>
        <w:t>možných nových podnikatelských příležitostech</w:t>
      </w:r>
      <w:r w:rsidRPr="00164C4B">
        <w:rPr>
          <w:bCs/>
          <w:szCs w:val="22"/>
        </w:rPr>
        <w:t xml:space="preserve"> </w:t>
      </w:r>
    </w:p>
    <w:p w14:paraId="2AB7F575" w14:textId="77777777" w:rsidR="00164C4B" w:rsidRPr="00164C4B" w:rsidRDefault="00164C4B" w:rsidP="00140906">
      <w:pPr>
        <w:pStyle w:val="Odstavecseseznamem"/>
        <w:numPr>
          <w:ilvl w:val="2"/>
          <w:numId w:val="34"/>
        </w:numPr>
        <w:ind w:left="709" w:hanging="425"/>
        <w:rPr>
          <w:bCs/>
          <w:szCs w:val="22"/>
        </w:rPr>
      </w:pPr>
      <w:r w:rsidRPr="00164C4B">
        <w:rPr>
          <w:b/>
          <w:bCs/>
          <w:szCs w:val="22"/>
        </w:rPr>
        <w:t>dochází k integraci podnikových znalostí</w:t>
      </w:r>
      <w:r w:rsidRPr="00164C4B">
        <w:rPr>
          <w:bCs/>
          <w:szCs w:val="22"/>
        </w:rPr>
        <w:t>, roztříštěných na mnoha místech a v mnoha organizacích, firmách, univerzitách, klientech a uživatelích</w:t>
      </w:r>
    </w:p>
    <w:p w14:paraId="6E504691" w14:textId="77777777" w:rsidR="00164C4B" w:rsidRPr="00164C4B" w:rsidRDefault="00164C4B" w:rsidP="00140906">
      <w:pPr>
        <w:pStyle w:val="Odstavecseseznamem"/>
        <w:numPr>
          <w:ilvl w:val="2"/>
          <w:numId w:val="34"/>
        </w:numPr>
        <w:ind w:left="709" w:hanging="425"/>
        <w:rPr>
          <w:bCs/>
          <w:szCs w:val="22"/>
        </w:rPr>
      </w:pPr>
      <w:r w:rsidRPr="00164C4B">
        <w:rPr>
          <w:bCs/>
          <w:szCs w:val="22"/>
        </w:rPr>
        <w:t xml:space="preserve">zkoumají se a otevírají nové oblasti </w:t>
      </w:r>
      <w:r w:rsidRPr="00164C4B">
        <w:rPr>
          <w:b/>
          <w:bCs/>
          <w:szCs w:val="22"/>
        </w:rPr>
        <w:t>technologických i tržních příležitostí, potenciálně bohatých na řadu inovací</w:t>
      </w:r>
      <w:r w:rsidRPr="00164C4B">
        <w:rPr>
          <w:bCs/>
          <w:szCs w:val="22"/>
        </w:rPr>
        <w:t>.</w:t>
      </w:r>
    </w:p>
    <w:p w14:paraId="18B02A4E" w14:textId="77777777" w:rsidR="00BD536F" w:rsidRDefault="00BD536F" w:rsidP="00BD536F">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p>
    <w:p w14:paraId="3953AF1B" w14:textId="77777777" w:rsidR="00BD536F" w:rsidRPr="008521FF" w:rsidRDefault="00BD536F" w:rsidP="00BD536F">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bookmarkStart w:id="101" w:name="_Toc5626478"/>
      <w:r>
        <w:rPr>
          <w:rFonts w:asciiTheme="majorHAnsi" w:eastAsiaTheme="majorEastAsia" w:hAnsiTheme="majorHAnsi" w:cstheme="majorHAnsi"/>
          <w:i/>
          <w:caps/>
          <w:color w:val="004B8D"/>
          <w:spacing w:val="0"/>
          <w:sz w:val="22"/>
          <w:lang w:bidi="ar-SA"/>
        </w:rPr>
        <w:t xml:space="preserve">6.2.1 </w:t>
      </w:r>
      <w:r w:rsidR="00F9401C">
        <w:rPr>
          <w:rFonts w:asciiTheme="majorHAnsi" w:eastAsiaTheme="majorEastAsia" w:hAnsiTheme="majorHAnsi" w:cstheme="majorHAnsi"/>
          <w:i/>
          <w:caps/>
          <w:color w:val="004B8D"/>
          <w:spacing w:val="0"/>
          <w:sz w:val="22"/>
          <w:lang w:bidi="ar-SA"/>
        </w:rPr>
        <w:t>EDP proces v národní ris3 strategii</w:t>
      </w:r>
      <w:bookmarkEnd w:id="101"/>
    </w:p>
    <w:p w14:paraId="5A715E32" w14:textId="77777777" w:rsidR="00E30808" w:rsidRDefault="00164C4B" w:rsidP="00E30808">
      <w:pPr>
        <w:rPr>
          <w:lang w:bidi="ar-SA"/>
        </w:rPr>
      </w:pPr>
      <w:r>
        <w:rPr>
          <w:lang w:bidi="ar-SA"/>
        </w:rPr>
        <w:t xml:space="preserve">Nositeli EDP procesu jsou v podmínkách ČR zejména stakeholdeři </w:t>
      </w:r>
      <w:r w:rsidR="003E0B83">
        <w:rPr>
          <w:lang w:bidi="ar-SA"/>
        </w:rPr>
        <w:t xml:space="preserve">zapojení do činnosti </w:t>
      </w:r>
      <w:r>
        <w:rPr>
          <w:lang w:bidi="ar-SA"/>
        </w:rPr>
        <w:t xml:space="preserve">národních a krajských inovačních platforem, jak bylo blíže uvedeno v předchozích částech materiálu. Jejich úloha je zásadní nejen při identifikaci vertikálních cílů v procesu přípravy RIS3 strategie, ale i při její realizaci, resp. při propisování vertikálních cílů do dotačních programů a výzev. </w:t>
      </w:r>
    </w:p>
    <w:p w14:paraId="4A3797A1" w14:textId="77777777" w:rsidR="00164C4B" w:rsidRPr="00BD536F" w:rsidRDefault="003E0B83" w:rsidP="00E30808">
      <w:pPr>
        <w:rPr>
          <w:b/>
          <w:u w:val="single"/>
          <w:lang w:bidi="ar-SA"/>
        </w:rPr>
      </w:pPr>
      <w:r w:rsidRPr="00BD536F">
        <w:rPr>
          <w:b/>
          <w:u w:val="single"/>
          <w:lang w:bidi="ar-SA"/>
        </w:rPr>
        <w:t>EDP proce</w:t>
      </w:r>
      <w:r w:rsidR="007B6D30" w:rsidRPr="00BD536F">
        <w:rPr>
          <w:b/>
          <w:u w:val="single"/>
          <w:lang w:bidi="ar-SA"/>
        </w:rPr>
        <w:t>s při identifikaci specializace (při přípravě strategie)</w:t>
      </w:r>
    </w:p>
    <w:p w14:paraId="51C0D1CE" w14:textId="77777777" w:rsidR="003E0B83" w:rsidRDefault="003E0B83" w:rsidP="00E30808">
      <w:pPr>
        <w:rPr>
          <w:lang w:bidi="ar-SA"/>
        </w:rPr>
      </w:pPr>
      <w:r>
        <w:rPr>
          <w:lang w:bidi="ar-SA"/>
        </w:rPr>
        <w:t xml:space="preserve">Nastavování EDP procesu, resp. vtahování podnikatelů, výzkumníků a dalších subjektů triple helix započal již v roce 2013, kdy byla zahájena příprava Národní RIS3 strategie a jejich krajských příloh. V té době byly ustaveny </w:t>
      </w:r>
      <w:r w:rsidR="007B6D30">
        <w:rPr>
          <w:lang w:bidi="ar-SA"/>
        </w:rPr>
        <w:t xml:space="preserve">v jednotlivých krajích inovační platformy (oborové nebo tematické), národní inovační platformy začaly vznikat v průběhu roku 2014. </w:t>
      </w:r>
    </w:p>
    <w:p w14:paraId="6D3DAF43" w14:textId="7791A5F8" w:rsidR="00935F02" w:rsidRPr="00990A7E" w:rsidRDefault="007B6D30" w:rsidP="007B6D30">
      <w:pPr>
        <w:rPr>
          <w:bCs/>
          <w:szCs w:val="22"/>
        </w:rPr>
      </w:pPr>
      <w:r>
        <w:rPr>
          <w:lang w:bidi="ar-SA"/>
        </w:rPr>
        <w:t>Jak vyplynulo z předešlých analýz, v</w:t>
      </w:r>
      <w:r w:rsidR="00935F02" w:rsidRPr="00990A7E">
        <w:rPr>
          <w:bCs/>
          <w:szCs w:val="22"/>
        </w:rPr>
        <w:t>šechny implicitně stanovené cíle Národní RIS3 strategie</w:t>
      </w:r>
      <w:r w:rsidR="004B14F6" w:rsidRPr="00990A7E">
        <w:rPr>
          <w:bCs/>
          <w:szCs w:val="22"/>
        </w:rPr>
        <w:t xml:space="preserve"> zaměřené na inteligentní specializaci</w:t>
      </w:r>
      <w:r w:rsidR="00935F02" w:rsidRPr="00990A7E">
        <w:rPr>
          <w:bCs/>
          <w:szCs w:val="22"/>
        </w:rPr>
        <w:t>, nejsou dostatečně akcentovány a nemají jasný odraz v</w:t>
      </w:r>
      <w:r w:rsidR="00313CD3">
        <w:rPr>
          <w:bCs/>
          <w:szCs w:val="22"/>
        </w:rPr>
        <w:t> </w:t>
      </w:r>
      <w:r w:rsidR="00935F02" w:rsidRPr="00990A7E">
        <w:rPr>
          <w:bCs/>
          <w:szCs w:val="22"/>
        </w:rPr>
        <w:t xml:space="preserve">zadání cílů a limitů EDP procesu. V důsledku toho je tento proces </w:t>
      </w:r>
      <w:r w:rsidR="00935F02" w:rsidRPr="009025CA">
        <w:rPr>
          <w:b/>
          <w:bCs/>
          <w:szCs w:val="22"/>
        </w:rPr>
        <w:t>rozvolněný</w:t>
      </w:r>
      <w:r w:rsidR="00935F02" w:rsidRPr="00990A7E">
        <w:rPr>
          <w:bCs/>
          <w:szCs w:val="22"/>
        </w:rPr>
        <w:t xml:space="preserve"> a neodráží klíčové </w:t>
      </w:r>
      <w:r>
        <w:rPr>
          <w:bCs/>
          <w:szCs w:val="22"/>
        </w:rPr>
        <w:t xml:space="preserve">rysy tohoto procesu, jak jsou uvedeny výše. </w:t>
      </w:r>
    </w:p>
    <w:p w14:paraId="72799EF7" w14:textId="77777777" w:rsidR="00935F02" w:rsidRDefault="007B6D30" w:rsidP="00935F02">
      <w:pPr>
        <w:rPr>
          <w:bCs/>
          <w:szCs w:val="22"/>
        </w:rPr>
      </w:pPr>
      <w:r>
        <w:rPr>
          <w:bCs/>
          <w:szCs w:val="22"/>
        </w:rPr>
        <w:t xml:space="preserve">Evaluátor se domnívá, že realizace EDP </w:t>
      </w:r>
      <w:r w:rsidR="00935F02">
        <w:rPr>
          <w:bCs/>
          <w:szCs w:val="22"/>
        </w:rPr>
        <w:t xml:space="preserve">se v této souvislosti soustředila </w:t>
      </w:r>
      <w:r>
        <w:rPr>
          <w:bCs/>
          <w:szCs w:val="22"/>
        </w:rPr>
        <w:t>spíše</w:t>
      </w:r>
      <w:r w:rsidR="00935F02">
        <w:rPr>
          <w:bCs/>
          <w:szCs w:val="22"/>
        </w:rPr>
        <w:t xml:space="preserve"> na formální stránku </w:t>
      </w:r>
      <w:r>
        <w:rPr>
          <w:bCs/>
          <w:szCs w:val="22"/>
        </w:rPr>
        <w:t xml:space="preserve">tohoto </w:t>
      </w:r>
      <w:r w:rsidR="00935F02">
        <w:rPr>
          <w:bCs/>
          <w:szCs w:val="22"/>
        </w:rPr>
        <w:t xml:space="preserve">procesu a nikoliv na použitelnost výstupů </w:t>
      </w:r>
      <w:r w:rsidR="007A70ED">
        <w:rPr>
          <w:bCs/>
          <w:szCs w:val="22"/>
        </w:rPr>
        <w:t xml:space="preserve">vzešlých </w:t>
      </w:r>
      <w:r w:rsidR="00935F02">
        <w:rPr>
          <w:bCs/>
          <w:szCs w:val="22"/>
        </w:rPr>
        <w:t xml:space="preserve">z tohoto procesu. </w:t>
      </w:r>
      <w:r w:rsidR="00935F02">
        <w:t xml:space="preserve">Reálný stav </w:t>
      </w:r>
      <w:r>
        <w:t>„</w:t>
      </w:r>
      <w:r w:rsidR="00935F02">
        <w:t>karet aplikačních odvětví</w:t>
      </w:r>
      <w:r>
        <w:t>“</w:t>
      </w:r>
      <w:r w:rsidR="00831911">
        <w:t>, resp. souhrn priorit VaVaI zjištěných prostřednictvím EDP v rámci NIP</w:t>
      </w:r>
      <w:r w:rsidR="00831911">
        <w:rPr>
          <w:rStyle w:val="Znakapoznpodarou"/>
        </w:rPr>
        <w:footnoteReference w:id="64"/>
      </w:r>
      <w:r w:rsidR="00935F02">
        <w:t xml:space="preserve"> je </w:t>
      </w:r>
      <w:r w:rsidR="00935F02" w:rsidRPr="00831911">
        <w:rPr>
          <w:b/>
        </w:rPr>
        <w:t>neudržitelně široký</w:t>
      </w:r>
      <w:r w:rsidR="00935F02">
        <w:t xml:space="preserve"> a v některých případech přímo deklaruje, že se jedná o opis Koncepce výzkumu, vývoje a inovací příslušného resortu.</w:t>
      </w:r>
    </w:p>
    <w:p w14:paraId="3ED44CDC" w14:textId="77777777" w:rsidR="00935F02" w:rsidRPr="00990A7E" w:rsidRDefault="007A70ED" w:rsidP="007A70ED">
      <w:pPr>
        <w:rPr>
          <w:lang w:bidi="ar-SA"/>
        </w:rPr>
      </w:pPr>
      <w:r>
        <w:rPr>
          <w:lang w:bidi="ar-SA"/>
        </w:rPr>
        <w:t>Jak již zaznělo v předchozích kapitolách, k</w:t>
      </w:r>
      <w:r w:rsidR="00935F02" w:rsidRPr="007A70ED">
        <w:rPr>
          <w:lang w:bidi="ar-SA"/>
        </w:rPr>
        <w:t xml:space="preserve">onkrétním výstupem EDP procesu by mělo být vymezení (vybraných) témat pro aplikovaný výzkum v (klíčových) odvětvích ekonomické specializace ČR, aby bylo možno </w:t>
      </w:r>
      <w:r w:rsidR="00935F02" w:rsidRPr="007A70ED">
        <w:rPr>
          <w:b/>
          <w:lang w:bidi="ar-SA"/>
        </w:rPr>
        <w:t>efektivně zacílit</w:t>
      </w:r>
      <w:r w:rsidR="00935F02" w:rsidRPr="007A70ED">
        <w:rPr>
          <w:lang w:bidi="ar-SA"/>
        </w:rPr>
        <w:t xml:space="preserve"> </w:t>
      </w:r>
      <w:r w:rsidR="00BD536F">
        <w:rPr>
          <w:lang w:bidi="ar-SA"/>
        </w:rPr>
        <w:t xml:space="preserve">úsilí a </w:t>
      </w:r>
      <w:r w:rsidR="00935F02" w:rsidRPr="007A70ED">
        <w:rPr>
          <w:lang w:bidi="ar-SA"/>
        </w:rPr>
        <w:t xml:space="preserve">disponibilní finanční prostředky </w:t>
      </w:r>
      <w:r w:rsidR="00BD536F">
        <w:rPr>
          <w:lang w:bidi="ar-SA"/>
        </w:rPr>
        <w:t>(</w:t>
      </w:r>
      <w:r w:rsidR="00935F02" w:rsidRPr="007A70ED">
        <w:rPr>
          <w:lang w:bidi="ar-SA"/>
        </w:rPr>
        <w:t>long list</w:t>
      </w:r>
      <w:r w:rsidR="00BD536F">
        <w:rPr>
          <w:lang w:bidi="ar-SA"/>
        </w:rPr>
        <w:t>)</w:t>
      </w:r>
      <w:r w:rsidR="00935F02" w:rsidRPr="007A70ED">
        <w:rPr>
          <w:lang w:bidi="ar-SA"/>
        </w:rPr>
        <w:t>.</w:t>
      </w:r>
    </w:p>
    <w:p w14:paraId="719579BF" w14:textId="77777777" w:rsidR="00935F02" w:rsidRDefault="00935F02" w:rsidP="00935F02">
      <w:pPr>
        <w:rPr>
          <w:lang w:bidi="ar-SA"/>
        </w:rPr>
      </w:pPr>
      <w:r>
        <w:rPr>
          <w:lang w:bidi="ar-SA"/>
        </w:rPr>
        <w:lastRenderedPageBreak/>
        <w:t>Ovšem identifikace témat pro aplikovaný výzkum, která by mohla být po vyřešení využita v klíčových odvětvích ekonomické specializace ČR</w:t>
      </w:r>
      <w:r w:rsidR="00BD536F">
        <w:rPr>
          <w:lang w:bidi="ar-SA"/>
        </w:rPr>
        <w:t>,</w:t>
      </w:r>
      <w:r>
        <w:rPr>
          <w:lang w:bidi="ar-SA"/>
        </w:rPr>
        <w:t xml:space="preserve"> je pouze jednou stranou problému hledání inovačních příležitostí.</w:t>
      </w:r>
    </w:p>
    <w:p w14:paraId="0E6C8ED3" w14:textId="77777777" w:rsidR="00935F02" w:rsidRDefault="00935F02" w:rsidP="00935F02">
      <w:pPr>
        <w:rPr>
          <w:rFonts w:asciiTheme="majorHAnsi" w:hAnsiTheme="majorHAnsi"/>
          <w:szCs w:val="22"/>
        </w:rPr>
      </w:pPr>
      <w:r>
        <w:rPr>
          <w:lang w:bidi="ar-SA"/>
        </w:rPr>
        <w:t xml:space="preserve">Proces EDP je o hledání a nacházení </w:t>
      </w:r>
      <w:r w:rsidRPr="00BD536F">
        <w:rPr>
          <w:b/>
          <w:lang w:bidi="ar-SA"/>
        </w:rPr>
        <w:t>podnikatelských příležitostí</w:t>
      </w:r>
      <w:r>
        <w:rPr>
          <w:lang w:bidi="ar-SA"/>
        </w:rPr>
        <w:t xml:space="preserve"> opřených o inovace.</w:t>
      </w:r>
      <w:r>
        <w:rPr>
          <w:rStyle w:val="Znakapoznpodarou"/>
          <w:lang w:bidi="ar-SA"/>
        </w:rPr>
        <w:footnoteReference w:id="65"/>
      </w:r>
      <w:r>
        <w:rPr>
          <w:lang w:bidi="ar-SA"/>
        </w:rPr>
        <w:t xml:space="preserve"> </w:t>
      </w:r>
      <w:r w:rsidRPr="00A82C83">
        <w:rPr>
          <w:rFonts w:asciiTheme="majorHAnsi" w:hAnsiTheme="majorHAnsi"/>
          <w:szCs w:val="22"/>
        </w:rPr>
        <w:t xml:space="preserve">Výzkumné aktivity </w:t>
      </w:r>
      <w:r>
        <w:rPr>
          <w:rFonts w:asciiTheme="majorHAnsi" w:hAnsiTheme="majorHAnsi"/>
          <w:szCs w:val="22"/>
        </w:rPr>
        <w:t xml:space="preserve">aplikovaného výzkumu </w:t>
      </w:r>
      <w:r w:rsidRPr="00A82C83">
        <w:rPr>
          <w:rFonts w:asciiTheme="majorHAnsi" w:hAnsiTheme="majorHAnsi"/>
          <w:szCs w:val="22"/>
        </w:rPr>
        <w:t xml:space="preserve">v ČR pokrývají v určitém rozsahu všechny klíčové znalostní domény </w:t>
      </w:r>
      <w:r>
        <w:rPr>
          <w:rFonts w:asciiTheme="majorHAnsi" w:hAnsiTheme="majorHAnsi"/>
          <w:szCs w:val="22"/>
        </w:rPr>
        <w:t xml:space="preserve">Národní RIS3 strategie </w:t>
      </w:r>
      <w:r w:rsidRPr="00A82C83">
        <w:rPr>
          <w:rFonts w:asciiTheme="majorHAnsi" w:hAnsiTheme="majorHAnsi"/>
          <w:szCs w:val="22"/>
        </w:rPr>
        <w:t xml:space="preserve">a </w:t>
      </w:r>
      <w:r>
        <w:rPr>
          <w:rFonts w:asciiTheme="majorHAnsi" w:hAnsiTheme="majorHAnsi"/>
          <w:szCs w:val="22"/>
        </w:rPr>
        <w:t xml:space="preserve">prostřednictvím procesu EDP by měly být hledány a nalezeny ty oblasti, kde </w:t>
      </w:r>
      <w:r w:rsidRPr="00A82C83">
        <w:rPr>
          <w:rFonts w:asciiTheme="majorHAnsi" w:hAnsiTheme="majorHAnsi"/>
          <w:szCs w:val="22"/>
        </w:rPr>
        <w:t>výzkumná základna j</w:t>
      </w:r>
      <w:r>
        <w:rPr>
          <w:rFonts w:asciiTheme="majorHAnsi" w:hAnsiTheme="majorHAnsi"/>
          <w:szCs w:val="22"/>
        </w:rPr>
        <w:t>iž nyní</w:t>
      </w:r>
      <w:r w:rsidRPr="00A82C83">
        <w:rPr>
          <w:rFonts w:asciiTheme="majorHAnsi" w:hAnsiTheme="majorHAnsi"/>
          <w:szCs w:val="22"/>
        </w:rPr>
        <w:t xml:space="preserve"> produk</w:t>
      </w:r>
      <w:r>
        <w:rPr>
          <w:rFonts w:asciiTheme="majorHAnsi" w:hAnsiTheme="majorHAnsi"/>
          <w:szCs w:val="22"/>
        </w:rPr>
        <w:t>uje</w:t>
      </w:r>
      <w:r w:rsidRPr="00A82C83">
        <w:rPr>
          <w:rFonts w:asciiTheme="majorHAnsi" w:hAnsiTheme="majorHAnsi"/>
          <w:szCs w:val="22"/>
        </w:rPr>
        <w:t xml:space="preserve"> atraktivní výsledky</w:t>
      </w:r>
      <w:r>
        <w:rPr>
          <w:rFonts w:asciiTheme="majorHAnsi" w:hAnsiTheme="majorHAnsi"/>
          <w:szCs w:val="22"/>
        </w:rPr>
        <w:t>, které mohou být</w:t>
      </w:r>
      <w:r w:rsidRPr="00A82C83">
        <w:rPr>
          <w:rFonts w:asciiTheme="majorHAnsi" w:hAnsiTheme="majorHAnsi"/>
          <w:szCs w:val="22"/>
        </w:rPr>
        <w:t xml:space="preserve"> aplikační sféře</w:t>
      </w:r>
      <w:r>
        <w:rPr>
          <w:rFonts w:asciiTheme="majorHAnsi" w:hAnsiTheme="majorHAnsi"/>
          <w:szCs w:val="22"/>
        </w:rPr>
        <w:t xml:space="preserve"> inspirací při hledání nových podnikatelských příležitostí postavených na inovacích.</w:t>
      </w:r>
    </w:p>
    <w:p w14:paraId="75AFE0A2" w14:textId="77777777" w:rsidR="00935F02" w:rsidRPr="00990A7E" w:rsidRDefault="00935F02" w:rsidP="00BD536F">
      <w:pPr>
        <w:rPr>
          <w:lang w:bidi="ar-SA"/>
        </w:rPr>
      </w:pPr>
      <w:r w:rsidRPr="00990A7E">
        <w:rPr>
          <w:lang w:bidi="ar-SA"/>
        </w:rPr>
        <w:t xml:space="preserve">Druhým konkrétním výstupem EDP procesu by měly být nové podnikatelské příležitosti postavené na </w:t>
      </w:r>
      <w:r w:rsidRPr="00BD536F">
        <w:rPr>
          <w:b/>
          <w:lang w:bidi="ar-SA"/>
        </w:rPr>
        <w:t>reálně dokončených nebo rozpracovaných špičkových technologických postupech a dalších výsledcích aplikovaného výzkumu</w:t>
      </w:r>
      <w:r w:rsidRPr="00990A7E">
        <w:rPr>
          <w:lang w:bidi="ar-SA"/>
        </w:rPr>
        <w:t xml:space="preserve">, které po </w:t>
      </w:r>
      <w:r w:rsidRPr="00BD536F">
        <w:rPr>
          <w:b/>
          <w:lang w:bidi="ar-SA"/>
        </w:rPr>
        <w:t>propojení s realizační základnou</w:t>
      </w:r>
      <w:r w:rsidRPr="00990A7E">
        <w:rPr>
          <w:lang w:bidi="ar-SA"/>
        </w:rPr>
        <w:t xml:space="preserve"> umožní vznik konkurenceschopných a inovativních postupů ve výrobě a službách </w:t>
      </w:r>
      <w:r w:rsidR="00BD536F">
        <w:rPr>
          <w:lang w:bidi="ar-SA"/>
        </w:rPr>
        <w:t>(</w:t>
      </w:r>
      <w:r w:rsidRPr="00990A7E">
        <w:rPr>
          <w:lang w:bidi="ar-SA"/>
        </w:rPr>
        <w:t>short list</w:t>
      </w:r>
      <w:r w:rsidR="00BD536F">
        <w:rPr>
          <w:lang w:bidi="ar-SA"/>
        </w:rPr>
        <w:t>)</w:t>
      </w:r>
      <w:r w:rsidRPr="00990A7E">
        <w:rPr>
          <w:lang w:bidi="ar-SA"/>
        </w:rPr>
        <w:t>.</w:t>
      </w:r>
    </w:p>
    <w:p w14:paraId="77499897" w14:textId="77777777" w:rsidR="00BD536F" w:rsidRPr="00BD536F" w:rsidRDefault="00BD536F" w:rsidP="00935F02">
      <w:pPr>
        <w:rPr>
          <w:b/>
          <w:u w:val="single"/>
          <w:lang w:bidi="ar-SA"/>
        </w:rPr>
      </w:pPr>
      <w:r w:rsidRPr="00BD536F">
        <w:rPr>
          <w:b/>
          <w:u w:val="single"/>
          <w:lang w:bidi="ar-SA"/>
        </w:rPr>
        <w:t>EDP proces při implementace strategie</w:t>
      </w:r>
    </w:p>
    <w:p w14:paraId="5D6FCEDE" w14:textId="77777777" w:rsidR="00935F02" w:rsidRPr="00BB7EFC" w:rsidRDefault="00BD536F" w:rsidP="00935F02">
      <w:pPr>
        <w:rPr>
          <w:lang w:bidi="ar-SA"/>
        </w:rPr>
      </w:pPr>
      <w:r>
        <w:rPr>
          <w:lang w:bidi="ar-SA"/>
        </w:rPr>
        <w:t xml:space="preserve">EDP je kontinuální proces a jeho význam je zřejmý nejen při vlastním objevování podnikatelských příležitostí, ale jak se ukázalo v tomto programovacím období, i při promítnutí jeho výstupů do dotačních programů a výzev. </w:t>
      </w:r>
      <w:r w:rsidR="00935F02">
        <w:rPr>
          <w:lang w:bidi="ar-SA"/>
        </w:rPr>
        <w:t xml:space="preserve"> </w:t>
      </w:r>
    </w:p>
    <w:p w14:paraId="255FF7C9" w14:textId="77777777" w:rsidR="001A1C10" w:rsidRDefault="000F4815" w:rsidP="000F4815">
      <w:pPr>
        <w:rPr>
          <w:lang w:bidi="ar-SA"/>
        </w:rPr>
      </w:pPr>
      <w:r w:rsidRPr="000F4815">
        <w:rPr>
          <w:lang w:bidi="ar-SA"/>
        </w:rPr>
        <w:t xml:space="preserve">ŘO </w:t>
      </w:r>
      <w:r>
        <w:rPr>
          <w:lang w:bidi="ar-SA"/>
        </w:rPr>
        <w:t>by měl při vyhlašování výzev brát v pota</w:t>
      </w:r>
      <w:r w:rsidR="000677B6">
        <w:rPr>
          <w:lang w:bidi="ar-SA"/>
        </w:rPr>
        <w:t>z</w:t>
      </w:r>
      <w:r>
        <w:rPr>
          <w:lang w:bidi="ar-SA"/>
        </w:rPr>
        <w:t xml:space="preserve"> výstup z NIP ve smyslu relevance znalostních domén pro konkrétní aplikační odvětví. Při vyhlašování </w:t>
      </w:r>
      <w:r w:rsidR="000677B6">
        <w:rPr>
          <w:lang w:bidi="ar-SA"/>
        </w:rPr>
        <w:t>výzev na začátku programovacího období sice byl</w:t>
      </w:r>
      <w:r w:rsidR="001A1C10">
        <w:rPr>
          <w:lang w:bidi="ar-SA"/>
        </w:rPr>
        <w:t xml:space="preserve"> záměr v tomto s NIP spolupracovat (např. </w:t>
      </w:r>
      <w:r w:rsidR="000677B6">
        <w:rPr>
          <w:lang w:bidi="ar-SA"/>
        </w:rPr>
        <w:t xml:space="preserve">ze strany ŘO OP VVV </w:t>
      </w:r>
      <w:r w:rsidR="001A1C10">
        <w:rPr>
          <w:lang w:bidi="ar-SA"/>
        </w:rPr>
        <w:t xml:space="preserve">byla snaha zahrnout do výzev průniky znalostních domén a aplikačních odvětví), avšak tyto snahy nebyly z různých důvodů naplněny. </w:t>
      </w:r>
    </w:p>
    <w:p w14:paraId="6DB1AB64" w14:textId="77777777" w:rsidR="00D4064E" w:rsidRDefault="001A1C10" w:rsidP="000F4815">
      <w:pPr>
        <w:rPr>
          <w:lang w:bidi="ar-SA"/>
        </w:rPr>
      </w:pPr>
      <w:r>
        <w:rPr>
          <w:lang w:bidi="ar-SA"/>
        </w:rPr>
        <w:t xml:space="preserve">Proces EDP </w:t>
      </w:r>
      <w:r w:rsidRPr="009025CA">
        <w:rPr>
          <w:b/>
          <w:lang w:bidi="ar-SA"/>
        </w:rPr>
        <w:t xml:space="preserve">nebyl </w:t>
      </w:r>
      <w:r>
        <w:rPr>
          <w:lang w:bidi="ar-SA"/>
        </w:rPr>
        <w:t xml:space="preserve">ze strany nositele Národní RIS3 strategie </w:t>
      </w:r>
      <w:r w:rsidR="000C1369">
        <w:rPr>
          <w:b/>
          <w:lang w:bidi="ar-SA"/>
        </w:rPr>
        <w:t>dostatečně</w:t>
      </w:r>
      <w:r w:rsidR="000C1369" w:rsidRPr="009025CA">
        <w:rPr>
          <w:b/>
          <w:lang w:bidi="ar-SA"/>
        </w:rPr>
        <w:t xml:space="preserve"> </w:t>
      </w:r>
      <w:r w:rsidRPr="009025CA">
        <w:rPr>
          <w:b/>
          <w:lang w:bidi="ar-SA"/>
        </w:rPr>
        <w:t>řízen</w:t>
      </w:r>
      <w:r>
        <w:rPr>
          <w:lang w:bidi="ar-SA"/>
        </w:rPr>
        <w:t>, což negativně přispělo ke ztrátě důvěry stakeholderů ve smysluplnost Národní RIS3 strategie</w:t>
      </w:r>
      <w:r w:rsidR="00EF7A1D">
        <w:rPr>
          <w:lang w:bidi="ar-SA"/>
        </w:rPr>
        <w:t>, jak vyplynulo ze zjištění terénního šetření</w:t>
      </w:r>
      <w:r>
        <w:rPr>
          <w:lang w:bidi="ar-SA"/>
        </w:rPr>
        <w:t xml:space="preserve">. </w:t>
      </w:r>
    </w:p>
    <w:p w14:paraId="5408FF35" w14:textId="77777777" w:rsidR="00EF7A1D" w:rsidRDefault="00EF7A1D" w:rsidP="00EF7A1D">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p>
    <w:p w14:paraId="78337309" w14:textId="77777777" w:rsidR="00EF7A1D" w:rsidRPr="008521FF" w:rsidRDefault="00EF7A1D" w:rsidP="00EF7A1D">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bookmarkStart w:id="102" w:name="_Toc5626479"/>
      <w:r>
        <w:rPr>
          <w:rFonts w:asciiTheme="majorHAnsi" w:eastAsiaTheme="majorEastAsia" w:hAnsiTheme="majorHAnsi" w:cstheme="majorHAnsi"/>
          <w:i/>
          <w:caps/>
          <w:color w:val="004B8D"/>
          <w:spacing w:val="0"/>
          <w:sz w:val="22"/>
          <w:lang w:bidi="ar-SA"/>
        </w:rPr>
        <w:t>6.2.2 vnímání EDP procesu zapojenými stakeholdery</w:t>
      </w:r>
      <w:bookmarkEnd w:id="102"/>
    </w:p>
    <w:p w14:paraId="68D117DA" w14:textId="77777777" w:rsidR="00877329" w:rsidRDefault="00EF7A1D" w:rsidP="000F4815">
      <w:pPr>
        <w:rPr>
          <w:lang w:bidi="ar-SA"/>
        </w:rPr>
      </w:pPr>
      <w:r>
        <w:rPr>
          <w:lang w:bidi="ar-SA"/>
        </w:rPr>
        <w:t xml:space="preserve">Vnímání EDP procesu bylo předmětem zkoumání v rámci </w:t>
      </w:r>
      <w:r w:rsidR="00A4651A">
        <w:rPr>
          <w:lang w:bidi="ar-SA"/>
        </w:rPr>
        <w:t xml:space="preserve">terénního šetření, a to jak u členů NIP tak KIP. Postoj k EDP procesu stakeholdery na krajské úrovni (KIP) je blíže specifikován v kapitole </w:t>
      </w:r>
      <w:r w:rsidR="00877329">
        <w:rPr>
          <w:lang w:bidi="ar-SA"/>
        </w:rPr>
        <w:t xml:space="preserve">5.1.1. Níže uvedená zjištění se týkají pozice členů NIP. </w:t>
      </w:r>
    </w:p>
    <w:p w14:paraId="388D0281" w14:textId="77777777" w:rsidR="009D1A85" w:rsidRDefault="009D1A85" w:rsidP="000F4815">
      <w:pPr>
        <w:rPr>
          <w:lang w:bidi="ar-SA"/>
        </w:rPr>
      </w:pPr>
      <w:r>
        <w:rPr>
          <w:lang w:bidi="ar-SA"/>
        </w:rPr>
        <w:t xml:space="preserve">Celkové vnímání EDP procesu v hlavních rysech znázorňuje následující graf. </w:t>
      </w:r>
    </w:p>
    <w:p w14:paraId="14A5CF74" w14:textId="77777777" w:rsidR="00E44DFD" w:rsidRDefault="00E44DFD" w:rsidP="009D1A85">
      <w:pPr>
        <w:rPr>
          <w:b/>
          <w:szCs w:val="22"/>
        </w:rPr>
      </w:pPr>
    </w:p>
    <w:p w14:paraId="78B9105F" w14:textId="77777777" w:rsidR="002D5E46" w:rsidRDefault="002D5E46" w:rsidP="009D1A85">
      <w:pPr>
        <w:rPr>
          <w:b/>
          <w:szCs w:val="22"/>
        </w:rPr>
      </w:pPr>
    </w:p>
    <w:p w14:paraId="38145EA5" w14:textId="77777777" w:rsidR="00125D41" w:rsidRDefault="00125D41" w:rsidP="009D1A85">
      <w:pPr>
        <w:rPr>
          <w:b/>
          <w:szCs w:val="22"/>
        </w:rPr>
      </w:pPr>
    </w:p>
    <w:p w14:paraId="007FC10D" w14:textId="77777777" w:rsidR="009D1A85" w:rsidRDefault="009D1A85" w:rsidP="009D1A85">
      <w:pPr>
        <w:rPr>
          <w:lang w:bidi="ar-SA"/>
        </w:rPr>
      </w:pPr>
      <w:bookmarkStart w:id="103" w:name="_Toc5626509"/>
      <w:r w:rsidRPr="00570F07">
        <w:rPr>
          <w:b/>
          <w:szCs w:val="22"/>
        </w:rPr>
        <w:lastRenderedPageBreak/>
        <w:t xml:space="preserve">Graf č. </w:t>
      </w:r>
      <w:r w:rsidR="008A090D" w:rsidRPr="00570F07">
        <w:rPr>
          <w:b/>
          <w:szCs w:val="22"/>
        </w:rPr>
        <w:fldChar w:fldCharType="begin"/>
      </w:r>
      <w:r w:rsidRPr="00570F07">
        <w:rPr>
          <w:b/>
          <w:szCs w:val="22"/>
        </w:rPr>
        <w:instrText xml:space="preserve"> SEQ </w:instrText>
      </w:r>
      <w:r w:rsidRPr="00570F07">
        <w:rPr>
          <w:rFonts w:hint="eastAsia"/>
          <w:b/>
          <w:szCs w:val="22"/>
        </w:rPr>
        <w:instrText>Graf_č._ \* ARABIC</w:instrText>
      </w:r>
      <w:r w:rsidRPr="00570F07">
        <w:rPr>
          <w:b/>
          <w:szCs w:val="22"/>
        </w:rPr>
        <w:instrText xml:space="preserve"> </w:instrText>
      </w:r>
      <w:r w:rsidR="008A090D" w:rsidRPr="00570F07">
        <w:rPr>
          <w:b/>
          <w:szCs w:val="22"/>
        </w:rPr>
        <w:fldChar w:fldCharType="separate"/>
      </w:r>
      <w:r w:rsidR="002309D5">
        <w:rPr>
          <w:b/>
          <w:noProof/>
          <w:szCs w:val="22"/>
        </w:rPr>
        <w:t>26</w:t>
      </w:r>
      <w:r w:rsidR="008A090D" w:rsidRPr="00570F07">
        <w:rPr>
          <w:b/>
          <w:szCs w:val="22"/>
        </w:rPr>
        <w:fldChar w:fldCharType="end"/>
      </w:r>
      <w:r w:rsidRPr="00570F07">
        <w:rPr>
          <w:b/>
          <w:szCs w:val="22"/>
        </w:rPr>
        <w:t xml:space="preserve"> </w:t>
      </w:r>
      <w:r>
        <w:rPr>
          <w:b/>
          <w:szCs w:val="22"/>
        </w:rPr>
        <w:t xml:space="preserve">– </w:t>
      </w:r>
      <w:r>
        <w:rPr>
          <w:lang w:bidi="ar-SA"/>
        </w:rPr>
        <w:t>Vnímání EDP procesu členy NIP</w:t>
      </w:r>
      <w:bookmarkEnd w:id="103"/>
    </w:p>
    <w:p w14:paraId="401DD2C9" w14:textId="77777777" w:rsidR="00877329" w:rsidRDefault="00E44DFD" w:rsidP="000F4815">
      <w:pPr>
        <w:rPr>
          <w:lang w:bidi="ar-SA"/>
        </w:rPr>
      </w:pPr>
      <w:r>
        <w:rPr>
          <w:noProof/>
          <w:lang w:eastAsia="cs-CZ" w:bidi="ar-SA"/>
        </w:rPr>
        <w:drawing>
          <wp:inline distT="0" distB="0" distL="0" distR="0" wp14:anchorId="0A2E3D02" wp14:editId="2AE72FB9">
            <wp:extent cx="5760720" cy="1870710"/>
            <wp:effectExtent l="0" t="0" r="0" b="0"/>
            <wp:docPr id="5" name="obrázek 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42" cstate="print"/>
                    <a:srcRect/>
                    <a:stretch>
                      <a:fillRect/>
                    </a:stretch>
                  </pic:blipFill>
                  <pic:spPr bwMode="auto">
                    <a:xfrm>
                      <a:off x="0" y="0"/>
                      <a:ext cx="5760720" cy="1870710"/>
                    </a:xfrm>
                    <a:prstGeom prst="rect">
                      <a:avLst/>
                    </a:prstGeom>
                    <a:noFill/>
                    <a:ln w="9525">
                      <a:noFill/>
                      <a:miter lim="800000"/>
                      <a:headEnd/>
                      <a:tailEnd/>
                    </a:ln>
                  </pic:spPr>
                </pic:pic>
              </a:graphicData>
            </a:graphic>
          </wp:inline>
        </w:drawing>
      </w:r>
    </w:p>
    <w:p w14:paraId="532C324D" w14:textId="77777777" w:rsidR="009D1A85" w:rsidRDefault="009D1A85" w:rsidP="000F4815">
      <w:pPr>
        <w:rPr>
          <w:lang w:bidi="ar-SA"/>
        </w:rPr>
      </w:pPr>
    </w:p>
    <w:p w14:paraId="61928BA3" w14:textId="77777777" w:rsidR="00B647E2" w:rsidRDefault="009D1A85" w:rsidP="000F4815">
      <w:pPr>
        <w:rPr>
          <w:lang w:bidi="ar-SA"/>
        </w:rPr>
      </w:pPr>
      <w:r>
        <w:rPr>
          <w:lang w:bidi="ar-SA"/>
        </w:rPr>
        <w:t>Jak je zřejmé z uvedeného grafu, na obecnou otázku, týkající se transparentnosti EDP procesu jako takového, odpovědělo kladně téměř 70 % respondentů</w:t>
      </w:r>
      <w:r w:rsidR="009025CA">
        <w:rPr>
          <w:lang w:bidi="ar-SA"/>
        </w:rPr>
        <w:t xml:space="preserve"> (N=47)</w:t>
      </w:r>
      <w:r>
        <w:rPr>
          <w:lang w:bidi="ar-SA"/>
        </w:rPr>
        <w:t>. Nicméně pokud půjdeme hlouběji do jednotlivých aspektů tohoto procesu, hodnocení už tak pozitivně nevyznívá. Fungování koordinace mezi aktéry tohoto procesu vnímá pozitivně již pouze necelá polovina respondentů. Proces plánování a rozvíjení EDP pozitivně hodnotí necelých 40 %</w:t>
      </w:r>
      <w:r w:rsidR="00B647E2">
        <w:rPr>
          <w:lang w:bidi="ar-SA"/>
        </w:rPr>
        <w:t>, přičemž v této</w:t>
      </w:r>
      <w:r>
        <w:rPr>
          <w:lang w:bidi="ar-SA"/>
        </w:rPr>
        <w:t xml:space="preserve"> oblasti lze pozorovat určitou rozpolcenost</w:t>
      </w:r>
      <w:r w:rsidR="00E44DFD">
        <w:rPr>
          <w:lang w:bidi="ar-SA"/>
        </w:rPr>
        <w:t xml:space="preserve">, kdy téměř stejné procento ho vnímá jako nedostatečně plánován a rozvíjen (zbytek nedokáže posoudit). </w:t>
      </w:r>
    </w:p>
    <w:p w14:paraId="4E03D9FC" w14:textId="77777777" w:rsidR="009D1A85" w:rsidRDefault="00B647E2" w:rsidP="000F4815">
      <w:pPr>
        <w:rPr>
          <w:lang w:bidi="ar-SA"/>
        </w:rPr>
      </w:pPr>
      <w:r>
        <w:rPr>
          <w:lang w:bidi="ar-SA"/>
        </w:rPr>
        <w:t xml:space="preserve">Za závažné zjištění lze považovat to, že pouze čtvrtina respondentů se domnívá, že výsledky procesu EDP jsou přenášeny na tvůrce politiky na národní úrovni. To zcela zřetelně odráží již zmiňovaný </w:t>
      </w:r>
      <w:r w:rsidR="000C1369">
        <w:rPr>
          <w:b/>
          <w:lang w:bidi="ar-SA"/>
        </w:rPr>
        <w:t>problematický</w:t>
      </w:r>
      <w:r w:rsidR="000C1369" w:rsidRPr="00876304">
        <w:rPr>
          <w:b/>
          <w:lang w:bidi="ar-SA"/>
        </w:rPr>
        <w:t xml:space="preserve"> </w:t>
      </w:r>
      <w:r w:rsidRPr="00876304">
        <w:rPr>
          <w:b/>
          <w:lang w:bidi="ar-SA"/>
        </w:rPr>
        <w:t>postoj ke smysluplnosti</w:t>
      </w:r>
      <w:r>
        <w:rPr>
          <w:lang w:bidi="ar-SA"/>
        </w:rPr>
        <w:t xml:space="preserve"> Národní RIS3 strategie jako takové, kdy většina klíčových stakeholderů EDP </w:t>
      </w:r>
      <w:r w:rsidR="000C1369">
        <w:rPr>
          <w:lang w:bidi="ar-SA"/>
        </w:rPr>
        <w:t xml:space="preserve">nemá dostatečnou motivaci se tohoto procesu aktivně účastnit. </w:t>
      </w:r>
      <w:r w:rsidR="00623138">
        <w:rPr>
          <w:lang w:bidi="ar-SA"/>
        </w:rPr>
        <w:t xml:space="preserve"> </w:t>
      </w:r>
    </w:p>
    <w:p w14:paraId="04CE765C" w14:textId="77777777" w:rsidR="00B647E2" w:rsidRDefault="00876304" w:rsidP="000F4815">
      <w:pPr>
        <w:rPr>
          <w:lang w:bidi="ar-SA"/>
        </w:rPr>
      </w:pPr>
      <w:r>
        <w:rPr>
          <w:rFonts w:asciiTheme="majorHAnsi" w:eastAsia="Geneva" w:hAnsiTheme="majorHAnsi"/>
          <w:bCs/>
          <w:iCs/>
        </w:rPr>
        <w:t xml:space="preserve">Při hodnocení podpory, která se respondentům při jejich činnosti v NIP dostává, převažovaly spíše negativní tendence. Pouze třetina respondentů se domnívá, že pro svou činnost jsou podporováni relevantními socioekonomickými daty (33 %) a jsou dostatečně seznamováni s aktuálními trendy v aplikačních odvětvích (36 %). Výstupy činností Analytického týmu RIS3 považuje pro podporu své činnosti na dobré úrovni pouze 27 % respondentů. Odlišná situace je v oblasti seznamování členů NIP s monitoringem naplňování Národní RIS strategie, kdy se pozitivně vyjádřilo přes 60 % respondentů. </w:t>
      </w:r>
      <w:r>
        <w:rPr>
          <w:lang w:bidi="ar-SA"/>
        </w:rPr>
        <w:t xml:space="preserve"> </w:t>
      </w:r>
    </w:p>
    <w:p w14:paraId="7F9F6AC7" w14:textId="77777777" w:rsidR="00876304" w:rsidRPr="00876304" w:rsidRDefault="00876304" w:rsidP="00876304">
      <w:pPr>
        <w:shd w:val="clear" w:color="auto" w:fill="FFFFFF" w:themeFill="background1"/>
        <w:suppressAutoHyphens/>
        <w:autoSpaceDE w:val="0"/>
        <w:spacing w:after="120"/>
        <w:rPr>
          <w:rFonts w:asciiTheme="majorHAnsi" w:eastAsia="Geneva" w:hAnsiTheme="majorHAnsi"/>
          <w:bCs/>
          <w:iCs/>
        </w:rPr>
      </w:pPr>
      <w:r w:rsidRPr="00876304">
        <w:rPr>
          <w:rFonts w:asciiTheme="majorHAnsi" w:eastAsia="Geneva" w:hAnsiTheme="majorHAnsi"/>
          <w:bCs/>
          <w:iCs/>
        </w:rPr>
        <w:t xml:space="preserve">Tzv. karty aplikačních odvětví představují hlavní výstup činnosti NIP. Naprostá většina respondentů se shodla na tom, že je nezbytné bilancovat a publikovat situaci v nosných odvětvích a karty představují vhodný nástroj pro formulování rozvojových opatření a intervencí, jak na situaci v nosných odvětvích reagovat. </w:t>
      </w:r>
    </w:p>
    <w:p w14:paraId="21D05FD0" w14:textId="77777777" w:rsidR="00876304" w:rsidRPr="00876304" w:rsidRDefault="00876304" w:rsidP="00876304">
      <w:pPr>
        <w:shd w:val="clear" w:color="auto" w:fill="FFFFFF" w:themeFill="background1"/>
        <w:suppressAutoHyphens/>
        <w:autoSpaceDE w:val="0"/>
        <w:spacing w:after="120"/>
        <w:rPr>
          <w:rFonts w:asciiTheme="majorHAnsi" w:eastAsia="Geneva" w:hAnsiTheme="majorHAnsi"/>
          <w:bCs/>
          <w:iCs/>
        </w:rPr>
      </w:pPr>
      <w:r w:rsidRPr="00876304">
        <w:rPr>
          <w:rFonts w:asciiTheme="majorHAnsi" w:eastAsia="Geneva" w:hAnsiTheme="majorHAnsi"/>
          <w:bCs/>
          <w:iCs/>
        </w:rPr>
        <w:t xml:space="preserve">Téměř 2/3 respondentů  (66 %) se však domnívá, že témata VaVaI identifikována prostřednictvím EDP jsou formulována </w:t>
      </w:r>
      <w:r w:rsidRPr="00617CA9">
        <w:rPr>
          <w:rFonts w:asciiTheme="majorHAnsi" w:eastAsia="Geneva" w:hAnsiTheme="majorHAnsi"/>
          <w:b/>
          <w:bCs/>
          <w:iCs/>
        </w:rPr>
        <w:t>obecně a široce</w:t>
      </w:r>
      <w:r w:rsidRPr="00876304">
        <w:rPr>
          <w:rFonts w:asciiTheme="majorHAnsi" w:eastAsia="Geneva" w:hAnsiTheme="majorHAnsi"/>
          <w:bCs/>
          <w:iCs/>
        </w:rPr>
        <w:t xml:space="preserve"> a téměř 60 % respondentů považuje výsledné karty za </w:t>
      </w:r>
      <w:r w:rsidRPr="00617CA9">
        <w:rPr>
          <w:rFonts w:asciiTheme="majorHAnsi" w:eastAsia="Geneva" w:hAnsiTheme="majorHAnsi"/>
          <w:b/>
          <w:bCs/>
          <w:iCs/>
        </w:rPr>
        <w:t>nedostatečně oponované</w:t>
      </w:r>
      <w:r w:rsidRPr="00876304">
        <w:rPr>
          <w:rFonts w:asciiTheme="majorHAnsi" w:eastAsia="Geneva" w:hAnsiTheme="majorHAnsi"/>
          <w:bCs/>
          <w:iCs/>
        </w:rPr>
        <w:t xml:space="preserve"> a tudíž spatřuje riziko, že karty nemusí být přesným odrazem skutečnosti. Pouze necelá polovina respondentů je toho názoru, že karta poskytuje zpětnou vazbu k účelnosti a nastavení politik a strategií s dopadem na dané odvětví. </w:t>
      </w:r>
    </w:p>
    <w:p w14:paraId="51F86A6E" w14:textId="77777777" w:rsidR="00876304" w:rsidRPr="00876304" w:rsidRDefault="00876304" w:rsidP="00876304">
      <w:pPr>
        <w:shd w:val="clear" w:color="auto" w:fill="FFFFFF" w:themeFill="background1"/>
        <w:suppressAutoHyphens/>
        <w:autoSpaceDE w:val="0"/>
        <w:spacing w:after="120"/>
        <w:rPr>
          <w:rFonts w:asciiTheme="majorHAnsi" w:eastAsia="Geneva" w:hAnsiTheme="majorHAnsi"/>
          <w:bCs/>
          <w:iCs/>
        </w:rPr>
      </w:pPr>
      <w:r w:rsidRPr="00876304">
        <w:rPr>
          <w:rFonts w:asciiTheme="majorHAnsi" w:eastAsia="Geneva" w:hAnsiTheme="majorHAnsi"/>
          <w:bCs/>
          <w:iCs/>
        </w:rPr>
        <w:lastRenderedPageBreak/>
        <w:t xml:space="preserve">Většina respondentů (téměř 90 %) se domnívá, že při zpracování karet hraje klíčovou úlohu invence týmu, který ji tvoří a to se následně odráží v kvalitě a vypovídací schopnosti dané karty. Nicméně téměř polovina respondentů je toho názoru, že při tvorbě karet se prosazují hlavně pohledy tvůrčího týmu </w:t>
      </w:r>
      <w:r w:rsidR="000C1369">
        <w:rPr>
          <w:rFonts w:asciiTheme="majorHAnsi" w:eastAsia="Geneva" w:hAnsiTheme="majorHAnsi"/>
          <w:bCs/>
          <w:iCs/>
        </w:rPr>
        <w:t xml:space="preserve">NIP </w:t>
      </w:r>
      <w:r w:rsidRPr="00876304">
        <w:rPr>
          <w:rFonts w:asciiTheme="majorHAnsi" w:eastAsia="Geneva" w:hAnsiTheme="majorHAnsi"/>
          <w:bCs/>
          <w:iCs/>
        </w:rPr>
        <w:t xml:space="preserve">na úkor objektivnosti, což koresponduje s již zmíněným pohledem na </w:t>
      </w:r>
      <w:r w:rsidRPr="00617CA9">
        <w:rPr>
          <w:rFonts w:asciiTheme="majorHAnsi" w:eastAsia="Geneva" w:hAnsiTheme="majorHAnsi"/>
          <w:b/>
          <w:bCs/>
          <w:iCs/>
        </w:rPr>
        <w:t>nedostatečnou oponenci karet a nejednotné metodické vedení</w:t>
      </w:r>
      <w:r w:rsidRPr="00876304">
        <w:rPr>
          <w:rFonts w:asciiTheme="majorHAnsi" w:eastAsia="Geneva" w:hAnsiTheme="majorHAnsi"/>
          <w:bCs/>
          <w:iCs/>
        </w:rPr>
        <w:t xml:space="preserve"> (téměř polovina respondentů postrádá jednotné a dostatečné metodické řízení zpracování karet aplikačních odvětví). </w:t>
      </w:r>
    </w:p>
    <w:p w14:paraId="4217DCD2" w14:textId="77777777" w:rsidR="00876304" w:rsidRDefault="00876304" w:rsidP="00876304">
      <w:pPr>
        <w:shd w:val="clear" w:color="auto" w:fill="FFFFFF" w:themeFill="background1"/>
        <w:suppressAutoHyphens/>
        <w:autoSpaceDE w:val="0"/>
        <w:spacing w:after="120"/>
        <w:rPr>
          <w:rFonts w:asciiTheme="majorHAnsi" w:eastAsia="Geneva" w:hAnsiTheme="majorHAnsi"/>
          <w:bCs/>
          <w:iCs/>
        </w:rPr>
      </w:pPr>
      <w:r w:rsidRPr="00876304">
        <w:rPr>
          <w:rFonts w:asciiTheme="majorHAnsi" w:eastAsia="Geneva" w:hAnsiTheme="majorHAnsi"/>
          <w:bCs/>
          <w:iCs/>
        </w:rPr>
        <w:t>Potvrzuje se taktéž nízká provázanost s krajskou dimenzí, neboť 45 % respondentů vůbec neumí posoudit, zda regionální rozložení odráží krajsky specifická aplikační odvětví. Pouze čtvrtina respondentů se domnívá, že regionální rozložení není pouze formální a vnímá soulad s krajskými aplikačními odvětvími.</w:t>
      </w:r>
      <w:r>
        <w:rPr>
          <w:rFonts w:asciiTheme="majorHAnsi" w:eastAsia="Geneva" w:hAnsiTheme="majorHAnsi"/>
          <w:bCs/>
          <w:iCs/>
        </w:rPr>
        <w:t xml:space="preserve"> </w:t>
      </w:r>
    </w:p>
    <w:p w14:paraId="287F3C7B" w14:textId="77777777" w:rsidR="00876304" w:rsidRDefault="00876304" w:rsidP="000F4815">
      <w:pPr>
        <w:rPr>
          <w:lang w:bidi="ar-SA"/>
        </w:rPr>
      </w:pPr>
    </w:p>
    <w:p w14:paraId="34400C82" w14:textId="77777777" w:rsidR="00877329" w:rsidRDefault="00877329" w:rsidP="000F4815">
      <w:pPr>
        <w:rPr>
          <w:lang w:bidi="ar-SA"/>
        </w:rPr>
      </w:pPr>
    </w:p>
    <w:p w14:paraId="182C9831" w14:textId="77777777" w:rsidR="00990A7E" w:rsidRPr="000F4815" w:rsidRDefault="00990A7E" w:rsidP="000F4815">
      <w:pPr>
        <w:rPr>
          <w:lang w:bidi="ar-SA"/>
        </w:rPr>
      </w:pPr>
      <w:r w:rsidRPr="000F4815">
        <w:rPr>
          <w:lang w:bidi="ar-SA"/>
        </w:rPr>
        <w:br w:type="page"/>
      </w:r>
    </w:p>
    <w:p w14:paraId="01D755CA" w14:textId="77777777" w:rsidR="0004366A" w:rsidRDefault="00962F4E" w:rsidP="00246ECF">
      <w:pPr>
        <w:pStyle w:val="Nadpis2"/>
        <w:keepNext/>
        <w:keepLines/>
        <w:numPr>
          <w:ilvl w:val="0"/>
          <w:numId w:val="0"/>
        </w:numPr>
        <w:pBdr>
          <w:top w:val="none" w:sz="0" w:space="0" w:color="auto"/>
          <w:left w:val="none" w:sz="0" w:space="0" w:color="auto"/>
        </w:pBdr>
        <w:shd w:val="clear" w:color="auto" w:fill="auto"/>
        <w:spacing w:before="200" w:after="0"/>
        <w:rPr>
          <w:rFonts w:asciiTheme="majorHAnsi" w:eastAsiaTheme="majorEastAsia" w:hAnsiTheme="majorHAnsi" w:cstheme="majorBidi"/>
          <w:bCs/>
          <w:color w:val="004B8D"/>
          <w:spacing w:val="0"/>
          <w:szCs w:val="26"/>
          <w:lang w:bidi="ar-SA"/>
        </w:rPr>
      </w:pPr>
      <w:bookmarkStart w:id="104" w:name="_Toc5626480"/>
      <w:r>
        <w:rPr>
          <w:rFonts w:asciiTheme="majorHAnsi" w:eastAsiaTheme="majorEastAsia" w:hAnsiTheme="majorHAnsi" w:cstheme="majorBidi"/>
          <w:bCs/>
          <w:color w:val="004B8D"/>
          <w:spacing w:val="0"/>
          <w:szCs w:val="26"/>
          <w:lang w:bidi="ar-SA"/>
        </w:rPr>
        <w:lastRenderedPageBreak/>
        <w:t xml:space="preserve">6.3 </w:t>
      </w:r>
      <w:r w:rsidR="00774190">
        <w:rPr>
          <w:rFonts w:asciiTheme="majorHAnsi" w:eastAsiaTheme="majorEastAsia" w:hAnsiTheme="majorHAnsi" w:cstheme="majorBidi"/>
          <w:bCs/>
          <w:color w:val="004B8D"/>
          <w:spacing w:val="0"/>
          <w:szCs w:val="26"/>
          <w:lang w:bidi="ar-SA"/>
        </w:rPr>
        <w:t>Soulad projektů</w:t>
      </w:r>
      <w:r w:rsidR="002B310D">
        <w:rPr>
          <w:rFonts w:asciiTheme="majorHAnsi" w:eastAsiaTheme="majorEastAsia" w:hAnsiTheme="majorHAnsi" w:cstheme="majorBidi"/>
          <w:bCs/>
          <w:color w:val="004B8D"/>
          <w:spacing w:val="0"/>
          <w:szCs w:val="26"/>
          <w:lang w:bidi="ar-SA"/>
        </w:rPr>
        <w:t xml:space="preserve"> </w:t>
      </w:r>
      <w:r w:rsidR="00774190">
        <w:rPr>
          <w:rFonts w:asciiTheme="majorHAnsi" w:eastAsiaTheme="majorEastAsia" w:hAnsiTheme="majorHAnsi" w:cstheme="majorBidi"/>
          <w:bCs/>
          <w:color w:val="004B8D"/>
          <w:spacing w:val="0"/>
          <w:szCs w:val="26"/>
          <w:lang w:bidi="ar-SA"/>
        </w:rPr>
        <w:t>s Národní RIS3 strategií</w:t>
      </w:r>
      <w:bookmarkEnd w:id="104"/>
      <w:r w:rsidR="002B310D">
        <w:rPr>
          <w:rFonts w:asciiTheme="majorHAnsi" w:eastAsiaTheme="majorEastAsia" w:hAnsiTheme="majorHAnsi" w:cstheme="majorBidi"/>
          <w:bCs/>
          <w:color w:val="004B8D"/>
          <w:spacing w:val="0"/>
          <w:szCs w:val="26"/>
          <w:lang w:bidi="ar-SA"/>
        </w:rPr>
        <w:t xml:space="preserve"> </w:t>
      </w:r>
    </w:p>
    <w:p w14:paraId="3D02CC86" w14:textId="35A42B31" w:rsidR="005F29A8" w:rsidRDefault="005F29A8" w:rsidP="005F29A8">
      <w:pPr>
        <w:shd w:val="clear" w:color="auto" w:fill="FFFFFF" w:themeFill="background1"/>
        <w:suppressAutoHyphens/>
        <w:autoSpaceDE w:val="0"/>
        <w:spacing w:after="120"/>
        <w:rPr>
          <w:rFonts w:asciiTheme="majorHAnsi" w:eastAsia="Geneva" w:hAnsiTheme="majorHAnsi"/>
          <w:bCs/>
          <w:iCs/>
        </w:rPr>
      </w:pPr>
      <w:r>
        <w:rPr>
          <w:rFonts w:asciiTheme="majorHAnsi" w:eastAsia="Geneva" w:hAnsiTheme="majorHAnsi"/>
          <w:bCs/>
          <w:iCs/>
        </w:rPr>
        <w:t xml:space="preserve">Národní RIS3 strategie je implementována prostřednictvím konkrétních projektů, které jsou podporovány v rámci relevantních intervencí, resp. operačních programů a národních programů podpory. Projekty realizované v rámci těchto intervencí by měly vykazovat soulad s cíli Národní RIS3 strategie. Přístupy jednotlivých </w:t>
      </w:r>
      <w:r w:rsidR="00183613">
        <w:rPr>
          <w:rFonts w:asciiTheme="majorHAnsi" w:eastAsia="Geneva" w:hAnsiTheme="majorHAnsi"/>
          <w:bCs/>
          <w:iCs/>
        </w:rPr>
        <w:t xml:space="preserve">řídících orgánů </w:t>
      </w:r>
      <w:r>
        <w:rPr>
          <w:rFonts w:asciiTheme="majorHAnsi" w:eastAsia="Geneva" w:hAnsiTheme="majorHAnsi"/>
          <w:bCs/>
          <w:iCs/>
        </w:rPr>
        <w:t xml:space="preserve">k vykazování </w:t>
      </w:r>
      <w:r w:rsidR="00F028F0">
        <w:rPr>
          <w:rFonts w:asciiTheme="majorHAnsi" w:eastAsia="Geneva" w:hAnsiTheme="majorHAnsi"/>
          <w:bCs/>
          <w:iCs/>
        </w:rPr>
        <w:t xml:space="preserve">tohoto </w:t>
      </w:r>
      <w:r>
        <w:rPr>
          <w:rFonts w:asciiTheme="majorHAnsi" w:eastAsia="Geneva" w:hAnsiTheme="majorHAnsi"/>
          <w:bCs/>
          <w:iCs/>
        </w:rPr>
        <w:t xml:space="preserve">souladu se diametrálně liší. </w:t>
      </w:r>
    </w:p>
    <w:p w14:paraId="2F6CF59E" w14:textId="2C43946C" w:rsidR="005F29A8" w:rsidRDefault="005F29A8" w:rsidP="005F29A8">
      <w:pPr>
        <w:shd w:val="clear" w:color="auto" w:fill="FFFFFF" w:themeFill="background1"/>
        <w:suppressAutoHyphens/>
        <w:autoSpaceDE w:val="0"/>
        <w:spacing w:after="120"/>
        <w:rPr>
          <w:rFonts w:asciiTheme="majorHAnsi" w:eastAsia="Geneva" w:hAnsiTheme="majorHAnsi"/>
          <w:bCs/>
          <w:iCs/>
        </w:rPr>
      </w:pPr>
      <w:r>
        <w:rPr>
          <w:rFonts w:asciiTheme="majorHAnsi" w:eastAsia="Geneva" w:hAnsiTheme="majorHAnsi"/>
          <w:bCs/>
          <w:iCs/>
        </w:rPr>
        <w:t>V</w:t>
      </w:r>
      <w:r w:rsidR="00062F4F">
        <w:rPr>
          <w:rFonts w:asciiTheme="majorHAnsi" w:eastAsia="Geneva" w:hAnsiTheme="majorHAnsi"/>
          <w:bCs/>
          <w:iCs/>
        </w:rPr>
        <w:t xml:space="preserve"> případě národních programů podpory (Gama, Epsilon, Centra kompetence) nemají </w:t>
      </w:r>
      <w:r w:rsidR="00774190">
        <w:rPr>
          <w:rFonts w:asciiTheme="majorHAnsi" w:eastAsia="Geneva" w:hAnsiTheme="majorHAnsi"/>
          <w:bCs/>
          <w:iCs/>
        </w:rPr>
        <w:t>žadatelé o</w:t>
      </w:r>
      <w:r w:rsidR="002D5E46">
        <w:rPr>
          <w:rFonts w:asciiTheme="majorHAnsi" w:eastAsia="Geneva" w:hAnsiTheme="majorHAnsi"/>
          <w:bCs/>
          <w:iCs/>
        </w:rPr>
        <w:t> </w:t>
      </w:r>
      <w:r w:rsidR="00774190">
        <w:rPr>
          <w:rFonts w:asciiTheme="majorHAnsi" w:eastAsia="Geneva" w:hAnsiTheme="majorHAnsi"/>
          <w:bCs/>
          <w:iCs/>
        </w:rPr>
        <w:t>podporu</w:t>
      </w:r>
      <w:r w:rsidR="00062F4F">
        <w:rPr>
          <w:rFonts w:asciiTheme="majorHAnsi" w:eastAsia="Geneva" w:hAnsiTheme="majorHAnsi"/>
          <w:bCs/>
          <w:iCs/>
        </w:rPr>
        <w:t xml:space="preserve"> povinnost vykazovat soulad svého projektu s Národní RIS3 strategií. Z tohoto důvodu je také znalost Národní RIS3 strategie příjemců z těchto programů výrazně nižší, než je tomu u</w:t>
      </w:r>
      <w:r w:rsidR="002D5E46">
        <w:rPr>
          <w:rFonts w:asciiTheme="majorHAnsi" w:eastAsia="Geneva" w:hAnsiTheme="majorHAnsi"/>
          <w:bCs/>
          <w:iCs/>
        </w:rPr>
        <w:t> </w:t>
      </w:r>
      <w:r w:rsidR="00062F4F">
        <w:rPr>
          <w:rFonts w:asciiTheme="majorHAnsi" w:eastAsia="Geneva" w:hAnsiTheme="majorHAnsi"/>
          <w:bCs/>
          <w:iCs/>
        </w:rPr>
        <w:t>příjemců z OP</w:t>
      </w:r>
      <w:r w:rsidR="00774190">
        <w:rPr>
          <w:rStyle w:val="Znakapoznpodarou"/>
          <w:rFonts w:asciiTheme="majorHAnsi" w:eastAsia="Geneva" w:hAnsiTheme="majorHAnsi"/>
          <w:bCs/>
          <w:iCs/>
        </w:rPr>
        <w:footnoteReference w:id="66"/>
      </w:r>
      <w:r w:rsidR="00062F4F">
        <w:rPr>
          <w:rFonts w:asciiTheme="majorHAnsi" w:eastAsia="Geneva" w:hAnsiTheme="majorHAnsi"/>
          <w:bCs/>
          <w:iCs/>
        </w:rPr>
        <w:t xml:space="preserve">. Příjemci z těchto </w:t>
      </w:r>
      <w:r w:rsidR="000C1369">
        <w:rPr>
          <w:rFonts w:asciiTheme="majorHAnsi" w:eastAsia="Geneva" w:hAnsiTheme="majorHAnsi"/>
          <w:bCs/>
          <w:iCs/>
        </w:rPr>
        <w:t xml:space="preserve">národních </w:t>
      </w:r>
      <w:r w:rsidR="00062F4F">
        <w:rPr>
          <w:rFonts w:asciiTheme="majorHAnsi" w:eastAsia="Geneva" w:hAnsiTheme="majorHAnsi"/>
          <w:bCs/>
          <w:iCs/>
        </w:rPr>
        <w:t xml:space="preserve">programů </w:t>
      </w:r>
      <w:r w:rsidR="000C1369">
        <w:rPr>
          <w:rFonts w:asciiTheme="majorHAnsi" w:eastAsia="Geneva" w:hAnsiTheme="majorHAnsi"/>
          <w:bCs/>
          <w:iCs/>
        </w:rPr>
        <w:t xml:space="preserve">podpory </w:t>
      </w:r>
      <w:r w:rsidR="00062F4F">
        <w:rPr>
          <w:rFonts w:asciiTheme="majorHAnsi" w:eastAsia="Geneva" w:hAnsiTheme="majorHAnsi"/>
          <w:bCs/>
          <w:iCs/>
        </w:rPr>
        <w:t xml:space="preserve">také nemají povinnost v žádosti o podporu identifikovat, do které domény inteligentní specializace jejich projekt spadá, což se posléze projevuje i v nemožnosti vyhodnocení skutečného zacílení Národní RIS3 strategie, resp. naplňování horizontálních a vertikálních cílů (blíže kap. </w:t>
      </w:r>
      <w:r w:rsidR="00DA6B6D">
        <w:rPr>
          <w:rFonts w:asciiTheme="majorHAnsi" w:eastAsia="Geneva" w:hAnsiTheme="majorHAnsi"/>
          <w:bCs/>
          <w:iCs/>
        </w:rPr>
        <w:t xml:space="preserve">4). </w:t>
      </w:r>
    </w:p>
    <w:p w14:paraId="02177D14" w14:textId="77777777" w:rsidR="00C9040A" w:rsidRDefault="00C9040A" w:rsidP="005F29A8">
      <w:pPr>
        <w:shd w:val="clear" w:color="auto" w:fill="FFFFFF" w:themeFill="background1"/>
        <w:suppressAutoHyphens/>
        <w:autoSpaceDE w:val="0"/>
        <w:spacing w:after="120"/>
        <w:rPr>
          <w:rFonts w:asciiTheme="majorHAnsi" w:eastAsia="Geneva" w:hAnsiTheme="majorHAnsi"/>
          <w:bCs/>
          <w:iCs/>
        </w:rPr>
      </w:pPr>
      <w:r>
        <w:rPr>
          <w:rFonts w:asciiTheme="majorHAnsi" w:eastAsia="Geneva" w:hAnsiTheme="majorHAnsi"/>
          <w:bCs/>
          <w:iCs/>
        </w:rPr>
        <w:t xml:space="preserve">V případě národního programu podpory TRIO určovali žadatelé o podporu soulad s Národní RIS3 strategií, a to na základě metodického materiálu „Vertikální priority Národní RIS3 strategie“. </w:t>
      </w:r>
    </w:p>
    <w:p w14:paraId="5A26111A" w14:textId="77777777" w:rsidR="00C9040A" w:rsidRDefault="00774190" w:rsidP="005F29A8">
      <w:pPr>
        <w:shd w:val="clear" w:color="auto" w:fill="FFFFFF" w:themeFill="background1"/>
        <w:suppressAutoHyphens/>
        <w:autoSpaceDE w:val="0"/>
        <w:spacing w:after="120"/>
        <w:rPr>
          <w:rFonts w:asciiTheme="majorHAnsi" w:eastAsia="Geneva" w:hAnsiTheme="majorHAnsi"/>
          <w:bCs/>
          <w:iCs/>
        </w:rPr>
      </w:pPr>
      <w:r>
        <w:rPr>
          <w:rFonts w:asciiTheme="majorHAnsi" w:eastAsia="Geneva" w:hAnsiTheme="majorHAnsi"/>
          <w:bCs/>
          <w:iCs/>
        </w:rPr>
        <w:t>Obdobným</w:t>
      </w:r>
      <w:r w:rsidR="00C9040A">
        <w:rPr>
          <w:rFonts w:asciiTheme="majorHAnsi" w:eastAsia="Geneva" w:hAnsiTheme="majorHAnsi"/>
          <w:bCs/>
          <w:iCs/>
        </w:rPr>
        <w:t xml:space="preserve"> způsobem postupovali žadatelé o podporu z</w:t>
      </w:r>
      <w:r w:rsidR="00DC5F1E">
        <w:rPr>
          <w:rFonts w:asciiTheme="majorHAnsi" w:eastAsia="Geneva" w:hAnsiTheme="majorHAnsi"/>
          <w:bCs/>
          <w:iCs/>
        </w:rPr>
        <w:t> </w:t>
      </w:r>
      <w:r w:rsidR="00C9040A">
        <w:rPr>
          <w:rFonts w:asciiTheme="majorHAnsi" w:eastAsia="Geneva" w:hAnsiTheme="majorHAnsi"/>
          <w:bCs/>
          <w:iCs/>
        </w:rPr>
        <w:t>OP</w:t>
      </w:r>
      <w:r w:rsidR="00DC5F1E">
        <w:rPr>
          <w:rFonts w:asciiTheme="majorHAnsi" w:eastAsia="Geneva" w:hAnsiTheme="majorHAnsi"/>
          <w:bCs/>
          <w:iCs/>
        </w:rPr>
        <w:t xml:space="preserve"> u výzev s ex-ante kondicionalitou</w:t>
      </w:r>
      <w:r w:rsidR="00C9040A">
        <w:rPr>
          <w:rFonts w:asciiTheme="majorHAnsi" w:eastAsia="Geneva" w:hAnsiTheme="majorHAnsi"/>
          <w:bCs/>
          <w:iCs/>
        </w:rPr>
        <w:t xml:space="preserve">. V případě </w:t>
      </w:r>
      <w:r w:rsidR="00DC5F1E">
        <w:rPr>
          <w:rFonts w:asciiTheme="majorHAnsi" w:eastAsia="Geneva" w:hAnsiTheme="majorHAnsi"/>
          <w:bCs/>
          <w:iCs/>
        </w:rPr>
        <w:t xml:space="preserve">žadatelů OP PIK, </w:t>
      </w:r>
      <w:r w:rsidR="00C9040A">
        <w:rPr>
          <w:rFonts w:asciiTheme="majorHAnsi" w:eastAsia="Geneva" w:hAnsiTheme="majorHAnsi"/>
          <w:bCs/>
          <w:iCs/>
        </w:rPr>
        <w:t xml:space="preserve">měli žadatelé </w:t>
      </w:r>
      <w:r w:rsidR="00DC5F1E">
        <w:rPr>
          <w:rFonts w:asciiTheme="majorHAnsi" w:eastAsia="Geneva" w:hAnsiTheme="majorHAnsi"/>
          <w:bCs/>
          <w:iCs/>
        </w:rPr>
        <w:t xml:space="preserve">k dispozici „Podkladový materiál pro implementaci RIS3 strategie v Operačním programu Podnikání a inovace pro konkurenceschopnost 2014-2020“. V případě žadatelů z OP VVV </w:t>
      </w:r>
      <w:r w:rsidR="00202866">
        <w:rPr>
          <w:rFonts w:asciiTheme="majorHAnsi" w:eastAsia="Geneva" w:hAnsiTheme="majorHAnsi"/>
          <w:bCs/>
          <w:iCs/>
        </w:rPr>
        <w:t>žadatelé postupovali dle pokynů v „Koncepčním přístupu ŘO OP VVV k implementaci RIS3 strategie“, resp. dle „Podkladového materiálu pro implementaci RIS3 strategie“</w:t>
      </w:r>
      <w:r w:rsidR="00426418">
        <w:rPr>
          <w:rStyle w:val="Znakapoznpodarou"/>
          <w:rFonts w:asciiTheme="majorHAnsi" w:eastAsia="Geneva" w:hAnsiTheme="majorHAnsi"/>
          <w:bCs/>
          <w:iCs/>
        </w:rPr>
        <w:footnoteReference w:id="67"/>
      </w:r>
      <w:r w:rsidR="00202866">
        <w:rPr>
          <w:rFonts w:asciiTheme="majorHAnsi" w:eastAsia="Geneva" w:hAnsiTheme="majorHAnsi"/>
          <w:bCs/>
          <w:iCs/>
        </w:rPr>
        <w:t xml:space="preserve">. </w:t>
      </w:r>
      <w:r w:rsidR="00873A44">
        <w:rPr>
          <w:rFonts w:asciiTheme="majorHAnsi" w:eastAsia="Geneva" w:hAnsiTheme="majorHAnsi"/>
          <w:bCs/>
          <w:iCs/>
        </w:rPr>
        <w:t xml:space="preserve">Žadatelé z programu OP PPR </w:t>
      </w:r>
      <w:r w:rsidR="00F028F0">
        <w:rPr>
          <w:rFonts w:asciiTheme="majorHAnsi" w:eastAsia="Geneva" w:hAnsiTheme="majorHAnsi"/>
          <w:bCs/>
          <w:iCs/>
        </w:rPr>
        <w:t xml:space="preserve">měli k dispozici </w:t>
      </w:r>
      <w:r w:rsidR="00332FB4">
        <w:rPr>
          <w:rFonts w:asciiTheme="majorHAnsi" w:eastAsia="Geneva" w:hAnsiTheme="majorHAnsi"/>
          <w:bCs/>
          <w:iCs/>
        </w:rPr>
        <w:t xml:space="preserve">materiál „Posouzení souladu projektu s Národní RIS3 strategií a Regionální inovační strategií hl. m. Prahy“. </w:t>
      </w:r>
    </w:p>
    <w:p w14:paraId="016AEC11" w14:textId="51C44BEC" w:rsidR="00332FB4" w:rsidRDefault="00332FB4" w:rsidP="005F29A8">
      <w:pPr>
        <w:shd w:val="clear" w:color="auto" w:fill="FFFFFF" w:themeFill="background1"/>
        <w:suppressAutoHyphens/>
        <w:autoSpaceDE w:val="0"/>
        <w:spacing w:after="120"/>
        <w:rPr>
          <w:rFonts w:asciiTheme="majorHAnsi" w:eastAsia="Geneva" w:hAnsiTheme="majorHAnsi"/>
          <w:bCs/>
          <w:iCs/>
        </w:rPr>
      </w:pPr>
      <w:r>
        <w:rPr>
          <w:rFonts w:asciiTheme="majorHAnsi" w:eastAsia="Geneva" w:hAnsiTheme="majorHAnsi"/>
          <w:bCs/>
          <w:iCs/>
        </w:rPr>
        <w:t xml:space="preserve">Vlastní metodika určování souladu se v jednotlivých podkladových materiálech </w:t>
      </w:r>
      <w:r w:rsidR="00774190">
        <w:rPr>
          <w:rFonts w:asciiTheme="majorHAnsi" w:eastAsia="Geneva" w:hAnsiTheme="majorHAnsi"/>
          <w:bCs/>
          <w:iCs/>
        </w:rPr>
        <w:t>liší</w:t>
      </w:r>
      <w:r>
        <w:rPr>
          <w:rFonts w:asciiTheme="majorHAnsi" w:eastAsia="Geneva" w:hAnsiTheme="majorHAnsi"/>
          <w:bCs/>
          <w:iCs/>
        </w:rPr>
        <w:t>. V případě OP PIK žadatelé identifikovali jako binární kritérium aplikační doménu, na kterou je projekt navázán a</w:t>
      </w:r>
      <w:r w:rsidR="002D5E46">
        <w:rPr>
          <w:rFonts w:asciiTheme="majorHAnsi" w:eastAsia="Geneva" w:hAnsiTheme="majorHAnsi"/>
          <w:bCs/>
          <w:iCs/>
        </w:rPr>
        <w:t> </w:t>
      </w:r>
      <w:r>
        <w:rPr>
          <w:rFonts w:asciiTheme="majorHAnsi" w:eastAsia="Geneva" w:hAnsiTheme="majorHAnsi"/>
          <w:bCs/>
          <w:iCs/>
        </w:rPr>
        <w:t>uvedli ji ve studii proveditelnosti. V případě, že žadatelem byl velký podnik, pak musel splnit i další binární kritérium týkající se znalostní domény. Bonifikačním kritériem pak bylo uvedení síly vazby na relevantní znalostní domény, které bylo povinné jak pro malé, tak pro velké podniky</w:t>
      </w:r>
      <w:r w:rsidR="00D809E3">
        <w:rPr>
          <w:rStyle w:val="Znakapoznpodarou"/>
          <w:rFonts w:asciiTheme="majorHAnsi" w:eastAsia="Geneva" w:hAnsiTheme="majorHAnsi"/>
          <w:bCs/>
          <w:iCs/>
        </w:rPr>
        <w:footnoteReference w:id="68"/>
      </w:r>
      <w:r>
        <w:rPr>
          <w:rFonts w:asciiTheme="majorHAnsi" w:eastAsia="Geneva" w:hAnsiTheme="majorHAnsi"/>
          <w:bCs/>
          <w:iCs/>
        </w:rPr>
        <w:t xml:space="preserve">.  </w:t>
      </w:r>
    </w:p>
    <w:p w14:paraId="7DEEF594" w14:textId="77777777" w:rsidR="009E57D6" w:rsidRPr="005F29A8" w:rsidRDefault="009E57D6" w:rsidP="009E57D6">
      <w:pPr>
        <w:shd w:val="clear" w:color="auto" w:fill="FFFFFF" w:themeFill="background1"/>
        <w:suppressAutoHyphens/>
        <w:autoSpaceDE w:val="0"/>
        <w:spacing w:after="120"/>
        <w:rPr>
          <w:rFonts w:asciiTheme="majorHAnsi" w:eastAsia="Geneva" w:hAnsiTheme="majorHAnsi"/>
          <w:bCs/>
          <w:iCs/>
        </w:rPr>
      </w:pPr>
      <w:r>
        <w:rPr>
          <w:rFonts w:asciiTheme="majorHAnsi" w:eastAsia="Geneva" w:hAnsiTheme="majorHAnsi"/>
          <w:bCs/>
          <w:iCs/>
        </w:rPr>
        <w:t xml:space="preserve">V případě OP VVV je žadatel povinen doložit </w:t>
      </w:r>
      <w:r w:rsidRPr="009E57D6">
        <w:rPr>
          <w:rFonts w:asciiTheme="majorHAnsi" w:eastAsia="Geneva" w:hAnsiTheme="majorHAnsi"/>
          <w:bCs/>
          <w:iCs/>
        </w:rPr>
        <w:t>v projektové žádosti podávané do</w:t>
      </w:r>
      <w:r>
        <w:rPr>
          <w:rFonts w:asciiTheme="majorHAnsi" w:eastAsia="Geneva" w:hAnsiTheme="majorHAnsi"/>
          <w:bCs/>
          <w:iCs/>
        </w:rPr>
        <w:t xml:space="preserve"> </w:t>
      </w:r>
      <w:r w:rsidRPr="009E57D6">
        <w:rPr>
          <w:rFonts w:asciiTheme="majorHAnsi" w:eastAsia="Geneva" w:hAnsiTheme="majorHAnsi"/>
          <w:bCs/>
          <w:iCs/>
        </w:rPr>
        <w:t>vertikalizované výzvy přílohu, jejímž smyslem je popsat soulad projektu s RIS3 strategií, a to</w:t>
      </w:r>
      <w:r>
        <w:rPr>
          <w:rFonts w:asciiTheme="majorHAnsi" w:eastAsia="Geneva" w:hAnsiTheme="majorHAnsi"/>
          <w:bCs/>
          <w:iCs/>
        </w:rPr>
        <w:t xml:space="preserve"> </w:t>
      </w:r>
      <w:r w:rsidRPr="009E57D6">
        <w:rPr>
          <w:rFonts w:asciiTheme="majorHAnsi" w:eastAsia="Geneva" w:hAnsiTheme="majorHAnsi"/>
          <w:bCs/>
          <w:iCs/>
        </w:rPr>
        <w:t>vždy v režimu příslušném dané výzvě</w:t>
      </w:r>
      <w:r>
        <w:rPr>
          <w:rFonts w:asciiTheme="majorHAnsi" w:eastAsia="Geneva" w:hAnsiTheme="majorHAnsi"/>
          <w:bCs/>
          <w:iCs/>
        </w:rPr>
        <w:t xml:space="preserve">. </w:t>
      </w:r>
      <w:r w:rsidRPr="009E57D6">
        <w:rPr>
          <w:rFonts w:asciiTheme="majorHAnsi" w:eastAsia="Geneva" w:hAnsiTheme="majorHAnsi"/>
          <w:bCs/>
          <w:iCs/>
        </w:rPr>
        <w:t>Soulad projektové žádosti s RIS3 strategií je posuzován ve fázi věcného hodnocení</w:t>
      </w:r>
      <w:r>
        <w:rPr>
          <w:rFonts w:asciiTheme="majorHAnsi" w:eastAsia="Geneva" w:hAnsiTheme="majorHAnsi"/>
          <w:bCs/>
          <w:iCs/>
        </w:rPr>
        <w:t xml:space="preserve"> </w:t>
      </w:r>
      <w:r w:rsidRPr="009E57D6">
        <w:rPr>
          <w:rFonts w:asciiTheme="majorHAnsi" w:eastAsia="Geneva" w:hAnsiTheme="majorHAnsi"/>
          <w:bCs/>
          <w:iCs/>
        </w:rPr>
        <w:t>odbornými hodnotiteli, a to prostřednictvím vylučovacího</w:t>
      </w:r>
      <w:r>
        <w:rPr>
          <w:rFonts w:asciiTheme="majorHAnsi" w:eastAsia="Geneva" w:hAnsiTheme="majorHAnsi"/>
          <w:bCs/>
          <w:iCs/>
        </w:rPr>
        <w:t xml:space="preserve"> (binárního)</w:t>
      </w:r>
      <w:r w:rsidRPr="009E57D6">
        <w:rPr>
          <w:rFonts w:asciiTheme="majorHAnsi" w:eastAsia="Geneva" w:hAnsiTheme="majorHAnsi"/>
          <w:bCs/>
          <w:iCs/>
        </w:rPr>
        <w:t xml:space="preserve"> kritéria „Soulad s RIS3“. Nesplnění tohoto</w:t>
      </w:r>
      <w:r>
        <w:rPr>
          <w:rFonts w:asciiTheme="majorHAnsi" w:eastAsia="Geneva" w:hAnsiTheme="majorHAnsi"/>
          <w:bCs/>
          <w:iCs/>
        </w:rPr>
        <w:t xml:space="preserve"> </w:t>
      </w:r>
      <w:r w:rsidRPr="009E57D6">
        <w:rPr>
          <w:rFonts w:asciiTheme="majorHAnsi" w:eastAsia="Geneva" w:hAnsiTheme="majorHAnsi"/>
          <w:bCs/>
          <w:iCs/>
        </w:rPr>
        <w:t>kritéria je důvodem pro vyřazení projektové žádosti</w:t>
      </w:r>
      <w:r w:rsidR="00D809E3">
        <w:rPr>
          <w:rStyle w:val="Znakapoznpodarou"/>
          <w:rFonts w:asciiTheme="majorHAnsi" w:eastAsia="Geneva" w:hAnsiTheme="majorHAnsi"/>
          <w:bCs/>
          <w:iCs/>
        </w:rPr>
        <w:footnoteReference w:id="69"/>
      </w:r>
      <w:r w:rsidRPr="009E57D6">
        <w:rPr>
          <w:rFonts w:asciiTheme="majorHAnsi" w:eastAsia="Geneva" w:hAnsiTheme="majorHAnsi"/>
          <w:bCs/>
          <w:iCs/>
        </w:rPr>
        <w:t>.</w:t>
      </w:r>
    </w:p>
    <w:p w14:paraId="535031D1" w14:textId="71E41CF4" w:rsidR="00873A44" w:rsidRDefault="00D809E3" w:rsidP="005F29A8">
      <w:pPr>
        <w:shd w:val="clear" w:color="auto" w:fill="FFFFFF" w:themeFill="background1"/>
        <w:suppressAutoHyphens/>
        <w:autoSpaceDE w:val="0"/>
        <w:spacing w:after="120"/>
        <w:rPr>
          <w:rFonts w:asciiTheme="majorHAnsi" w:eastAsia="Geneva" w:hAnsiTheme="majorHAnsi"/>
          <w:bCs/>
          <w:iCs/>
        </w:rPr>
      </w:pPr>
      <w:r>
        <w:rPr>
          <w:rFonts w:asciiTheme="majorHAnsi" w:eastAsia="Geneva" w:hAnsiTheme="majorHAnsi"/>
          <w:bCs/>
          <w:iCs/>
        </w:rPr>
        <w:lastRenderedPageBreak/>
        <w:t xml:space="preserve">V případě OP PPR musí žadatel </w:t>
      </w:r>
      <w:r w:rsidRPr="00D809E3">
        <w:rPr>
          <w:rFonts w:asciiTheme="majorHAnsi" w:eastAsia="Geneva" w:hAnsiTheme="majorHAnsi"/>
          <w:bCs/>
          <w:iCs/>
        </w:rPr>
        <w:t>pop</w:t>
      </w:r>
      <w:r>
        <w:rPr>
          <w:rFonts w:asciiTheme="majorHAnsi" w:eastAsia="Geneva" w:hAnsiTheme="majorHAnsi"/>
          <w:bCs/>
          <w:iCs/>
        </w:rPr>
        <w:t>sat</w:t>
      </w:r>
      <w:r w:rsidRPr="00D809E3">
        <w:rPr>
          <w:rFonts w:asciiTheme="majorHAnsi" w:eastAsia="Geneva" w:hAnsiTheme="majorHAnsi"/>
          <w:bCs/>
          <w:iCs/>
        </w:rPr>
        <w:t xml:space="preserve"> soulad projektu s prioritami RIS3 strategi</w:t>
      </w:r>
      <w:r w:rsidR="00774190">
        <w:rPr>
          <w:rFonts w:asciiTheme="majorHAnsi" w:eastAsia="Geneva" w:hAnsiTheme="majorHAnsi"/>
          <w:bCs/>
          <w:iCs/>
        </w:rPr>
        <w:t>í (národní i</w:t>
      </w:r>
      <w:r w:rsidR="002D5E46">
        <w:rPr>
          <w:rFonts w:asciiTheme="majorHAnsi" w:eastAsia="Geneva" w:hAnsiTheme="majorHAnsi"/>
          <w:bCs/>
          <w:iCs/>
        </w:rPr>
        <w:t> </w:t>
      </w:r>
      <w:r w:rsidR="00774190">
        <w:rPr>
          <w:rFonts w:asciiTheme="majorHAnsi" w:eastAsia="Geneva" w:hAnsiTheme="majorHAnsi"/>
          <w:bCs/>
          <w:iCs/>
        </w:rPr>
        <w:t>krajskou)</w:t>
      </w:r>
      <w:r w:rsidRPr="00D809E3">
        <w:rPr>
          <w:rFonts w:asciiTheme="majorHAnsi" w:eastAsia="Geneva" w:hAnsiTheme="majorHAnsi"/>
          <w:bCs/>
          <w:iCs/>
        </w:rPr>
        <w:t xml:space="preserve"> a doménami specializace, které </w:t>
      </w:r>
      <w:r w:rsidR="00774190">
        <w:rPr>
          <w:rFonts w:asciiTheme="majorHAnsi" w:eastAsia="Geneva" w:hAnsiTheme="majorHAnsi"/>
          <w:bCs/>
          <w:iCs/>
        </w:rPr>
        <w:t xml:space="preserve">tyto </w:t>
      </w:r>
      <w:r w:rsidRPr="00D809E3">
        <w:rPr>
          <w:rFonts w:asciiTheme="majorHAnsi" w:eastAsia="Geneva" w:hAnsiTheme="majorHAnsi"/>
          <w:bCs/>
          <w:iCs/>
        </w:rPr>
        <w:t>strategie obsahují. Pro splnění kritéria přijatelnosti je nutné, aby projekt spadal do některého z aplikačních odvětví Národní RI3 strategie nebo do domén specializace Regionální inovační strategie hl. m. Prahy</w:t>
      </w:r>
      <w:r>
        <w:rPr>
          <w:rFonts w:asciiTheme="majorHAnsi" w:eastAsia="Geneva" w:hAnsiTheme="majorHAnsi"/>
          <w:bCs/>
          <w:iCs/>
        </w:rPr>
        <w:t xml:space="preserve">, přičemž </w:t>
      </w:r>
      <w:r w:rsidRPr="00D809E3">
        <w:rPr>
          <w:rFonts w:asciiTheme="majorHAnsi" w:eastAsia="Geneva" w:hAnsiTheme="majorHAnsi"/>
          <w:bCs/>
          <w:iCs/>
        </w:rPr>
        <w:t>projekt musí odpovídat minimálně jedné položce</w:t>
      </w:r>
      <w:r>
        <w:rPr>
          <w:rStyle w:val="Znakapoznpodarou"/>
          <w:rFonts w:asciiTheme="majorHAnsi" w:eastAsia="Geneva" w:hAnsiTheme="majorHAnsi"/>
          <w:bCs/>
          <w:iCs/>
        </w:rPr>
        <w:footnoteReference w:id="70"/>
      </w:r>
      <w:r w:rsidRPr="00D809E3">
        <w:rPr>
          <w:rFonts w:asciiTheme="majorHAnsi" w:eastAsia="Geneva" w:hAnsiTheme="majorHAnsi"/>
          <w:bCs/>
          <w:iCs/>
        </w:rPr>
        <w:t>.</w:t>
      </w:r>
    </w:p>
    <w:p w14:paraId="4693F877" w14:textId="77777777" w:rsidR="00DA21F9" w:rsidRDefault="00774190" w:rsidP="005F29A8">
      <w:pPr>
        <w:shd w:val="clear" w:color="auto" w:fill="FFFFFF" w:themeFill="background1"/>
        <w:suppressAutoHyphens/>
        <w:autoSpaceDE w:val="0"/>
        <w:spacing w:after="120"/>
        <w:rPr>
          <w:rFonts w:asciiTheme="majorHAnsi" w:eastAsia="Geneva" w:hAnsiTheme="majorHAnsi"/>
          <w:bCs/>
          <w:iCs/>
        </w:rPr>
      </w:pPr>
      <w:r>
        <w:rPr>
          <w:rFonts w:asciiTheme="majorHAnsi" w:eastAsia="Geneva" w:hAnsiTheme="majorHAnsi"/>
          <w:bCs/>
          <w:iCs/>
        </w:rPr>
        <w:t xml:space="preserve">Absence jednotné metodiky jak pro příjemce, tak pro hodnotitelé projektů, a používání binárního kritéria hodnocení se ukázalo jako ne příliš šťastné, jak potvrdilo i terénní šetření s hodnotiteli projektů. </w:t>
      </w:r>
    </w:p>
    <w:p w14:paraId="35AFC965" w14:textId="77777777" w:rsidR="00281BDD" w:rsidRDefault="00281BDD" w:rsidP="005F29A8">
      <w:pPr>
        <w:shd w:val="clear" w:color="auto" w:fill="FFFFFF" w:themeFill="background1"/>
        <w:suppressAutoHyphens/>
        <w:autoSpaceDE w:val="0"/>
        <w:spacing w:after="120"/>
        <w:rPr>
          <w:rFonts w:asciiTheme="majorHAnsi" w:eastAsia="Geneva" w:hAnsiTheme="majorHAnsi"/>
          <w:bCs/>
          <w:iCs/>
        </w:rPr>
      </w:pPr>
      <w:r>
        <w:rPr>
          <w:rFonts w:asciiTheme="majorHAnsi" w:eastAsia="Geneva" w:hAnsiTheme="majorHAnsi"/>
          <w:bCs/>
          <w:iCs/>
        </w:rPr>
        <w:t xml:space="preserve">Závažný zjištěním z dotazníkového šetření s hodnotiteli projektů je, že ačkoliv by měli být schopni hodnotit soulad projektů s Národní RIS3 strategií, tak jejich znalost této strategie je v mnoha případech tristní. </w:t>
      </w:r>
    </w:p>
    <w:p w14:paraId="33CDEB34" w14:textId="77777777" w:rsidR="00DA21F9" w:rsidRDefault="00281BDD" w:rsidP="005F29A8">
      <w:pPr>
        <w:shd w:val="clear" w:color="auto" w:fill="FFFFFF" w:themeFill="background1"/>
        <w:suppressAutoHyphens/>
        <w:autoSpaceDE w:val="0"/>
        <w:spacing w:after="120"/>
        <w:rPr>
          <w:rFonts w:asciiTheme="majorHAnsi" w:eastAsia="Geneva" w:hAnsiTheme="majorHAnsi"/>
          <w:bCs/>
          <w:iCs/>
        </w:rPr>
      </w:pPr>
      <w:r>
        <w:rPr>
          <w:rFonts w:asciiTheme="majorHAnsi" w:eastAsia="Geneva" w:hAnsiTheme="majorHAnsi"/>
          <w:bCs/>
          <w:iCs/>
        </w:rPr>
        <w:t xml:space="preserve">Celkem 60 % hodnotitelů (N=192) národních programů podpory Gama, Epsilon a Centra kompetence nemají povědomí o existenci Národní RIS3 strategie nebo neví, čeho se strategie týká. U hodnotitelů programů OP PIK, OP VVV, OP PPR a TRIO je situace o poznání lepší, neboť tito hodnotitelé se musí vyjádřit k souladu projektů s Národní RIS3 strategií (oproti projektům TA ČR, kde soulad není podmínkou). </w:t>
      </w:r>
      <w:r w:rsidR="00FB205D">
        <w:rPr>
          <w:rFonts w:asciiTheme="majorHAnsi" w:eastAsia="Geneva" w:hAnsiTheme="majorHAnsi"/>
          <w:bCs/>
          <w:iCs/>
        </w:rPr>
        <w:t xml:space="preserve">I přes to </w:t>
      </w:r>
      <w:r>
        <w:rPr>
          <w:rFonts w:asciiTheme="majorHAnsi" w:eastAsia="Geneva" w:hAnsiTheme="majorHAnsi"/>
          <w:bCs/>
          <w:iCs/>
        </w:rPr>
        <w:t xml:space="preserve">téměř 7 % </w:t>
      </w:r>
      <w:r w:rsidR="00FB205D">
        <w:rPr>
          <w:rFonts w:asciiTheme="majorHAnsi" w:eastAsia="Geneva" w:hAnsiTheme="majorHAnsi"/>
          <w:bCs/>
          <w:iCs/>
        </w:rPr>
        <w:t>hodnotitelů</w:t>
      </w:r>
      <w:r>
        <w:rPr>
          <w:rFonts w:asciiTheme="majorHAnsi" w:eastAsia="Geneva" w:hAnsiTheme="majorHAnsi"/>
          <w:bCs/>
          <w:iCs/>
        </w:rPr>
        <w:t xml:space="preserve"> uvedlo, že vůbec nezná obsah Národní RIS3 strategie a 23 % zná její obsah ne zcela dobře</w:t>
      </w:r>
      <w:r w:rsidR="00FB205D">
        <w:rPr>
          <w:rFonts w:asciiTheme="majorHAnsi" w:eastAsia="Geneva" w:hAnsiTheme="majorHAnsi"/>
          <w:bCs/>
          <w:iCs/>
        </w:rPr>
        <w:t xml:space="preserve"> (N=266)</w:t>
      </w:r>
      <w:r>
        <w:rPr>
          <w:rFonts w:asciiTheme="majorHAnsi" w:eastAsia="Geneva" w:hAnsiTheme="majorHAnsi"/>
          <w:bCs/>
          <w:iCs/>
        </w:rPr>
        <w:t xml:space="preserve">. </w:t>
      </w:r>
    </w:p>
    <w:p w14:paraId="7DC4F69D" w14:textId="77777777" w:rsidR="001D6B4E" w:rsidRDefault="001D6B4E" w:rsidP="001D6B4E">
      <w:pPr>
        <w:shd w:val="clear" w:color="auto" w:fill="FFFFFF" w:themeFill="background1"/>
        <w:suppressAutoHyphens/>
        <w:autoSpaceDE w:val="0"/>
        <w:spacing w:after="120"/>
        <w:rPr>
          <w:rFonts w:asciiTheme="majorHAnsi" w:eastAsia="Geneva" w:hAnsiTheme="majorHAnsi"/>
          <w:bCs/>
          <w:iCs/>
        </w:rPr>
      </w:pPr>
      <w:r>
        <w:rPr>
          <w:rFonts w:asciiTheme="majorHAnsi" w:eastAsia="Geneva" w:hAnsiTheme="majorHAnsi"/>
          <w:bCs/>
          <w:iCs/>
        </w:rPr>
        <w:t>Hodnotitelé měli možnost vyjádřit svou zkušenost s mírou pochopení Národní RIS3 strategie u předkladatelů projektů. P</w:t>
      </w:r>
      <w:r w:rsidRPr="009502FC">
        <w:rPr>
          <w:rFonts w:asciiTheme="majorHAnsi" w:eastAsia="Geneva" w:hAnsiTheme="majorHAnsi"/>
          <w:bCs/>
          <w:iCs/>
        </w:rPr>
        <w:t>olovina hodnotitelů uvádí, že podíl předkladatelů projektů, kteří na vysoké úrovni zdůvodňují soulad svého projektu s</w:t>
      </w:r>
      <w:r>
        <w:rPr>
          <w:rFonts w:asciiTheme="majorHAnsi" w:eastAsia="Geneva" w:hAnsiTheme="majorHAnsi"/>
          <w:bCs/>
          <w:iCs/>
        </w:rPr>
        <w:t xml:space="preserve"> Národní </w:t>
      </w:r>
      <w:r w:rsidRPr="009502FC">
        <w:rPr>
          <w:rFonts w:asciiTheme="majorHAnsi" w:eastAsia="Geneva" w:hAnsiTheme="majorHAnsi"/>
          <w:bCs/>
          <w:iCs/>
        </w:rPr>
        <w:t>RIS3 strategií se pohybuje mezi 10 a 30 % (průměr je 24,21 %). Na dobré úrovni se zdůvodnění pohybuje mezi 30 a 58,75 % (průměr je 43,48 %) a nedostatečné zdůvodnění vykazuje 20 až 50 % předložených projektů (průměr je 32,31 %).</w:t>
      </w:r>
      <w:r>
        <w:rPr>
          <w:rFonts w:asciiTheme="majorHAnsi" w:eastAsia="Geneva" w:hAnsiTheme="majorHAnsi"/>
          <w:bCs/>
          <w:iCs/>
        </w:rPr>
        <w:t xml:space="preserve"> </w:t>
      </w:r>
      <w:r w:rsidR="00E80F3B">
        <w:rPr>
          <w:rFonts w:asciiTheme="majorHAnsi" w:eastAsia="Geneva" w:hAnsiTheme="majorHAnsi"/>
          <w:bCs/>
          <w:iCs/>
        </w:rPr>
        <w:t xml:space="preserve">V drtivé převaze se hodnotitelé přiklonili k názoru, že </w:t>
      </w:r>
      <w:r w:rsidR="00E80F3B" w:rsidRPr="00040813">
        <w:rPr>
          <w:rFonts w:asciiTheme="majorHAnsi" w:eastAsia="Geneva" w:hAnsiTheme="majorHAnsi"/>
          <w:b/>
          <w:bCs/>
          <w:iCs/>
        </w:rPr>
        <w:t>předkladatelé</w:t>
      </w:r>
      <w:r w:rsidR="00E80F3B">
        <w:rPr>
          <w:rFonts w:asciiTheme="majorHAnsi" w:eastAsia="Geneva" w:hAnsiTheme="majorHAnsi"/>
          <w:bCs/>
          <w:iCs/>
        </w:rPr>
        <w:t xml:space="preserve"> projektů </w:t>
      </w:r>
      <w:r w:rsidR="00E80F3B" w:rsidRPr="00040813">
        <w:rPr>
          <w:rFonts w:asciiTheme="majorHAnsi" w:eastAsia="Geneva" w:hAnsiTheme="majorHAnsi"/>
          <w:b/>
          <w:bCs/>
          <w:iCs/>
        </w:rPr>
        <w:t>nedoceňují význam</w:t>
      </w:r>
      <w:r w:rsidR="00E80F3B">
        <w:rPr>
          <w:rFonts w:asciiTheme="majorHAnsi" w:eastAsia="Geneva" w:hAnsiTheme="majorHAnsi"/>
          <w:bCs/>
          <w:iCs/>
        </w:rPr>
        <w:t xml:space="preserve"> Národní RIS3 strategie a akcent na inovace chápou jako </w:t>
      </w:r>
      <w:r w:rsidR="00E80F3B" w:rsidRPr="00040813">
        <w:rPr>
          <w:rFonts w:asciiTheme="majorHAnsi" w:eastAsia="Geneva" w:hAnsiTheme="majorHAnsi"/>
          <w:b/>
          <w:bCs/>
          <w:iCs/>
        </w:rPr>
        <w:t xml:space="preserve">nezbytnou podmínku </w:t>
      </w:r>
      <w:r w:rsidR="00E80F3B">
        <w:rPr>
          <w:rFonts w:asciiTheme="majorHAnsi" w:eastAsia="Geneva" w:hAnsiTheme="majorHAnsi"/>
          <w:bCs/>
          <w:iCs/>
        </w:rPr>
        <w:t>pro získání podpory.</w:t>
      </w:r>
    </w:p>
    <w:p w14:paraId="0835E53E" w14:textId="77777777" w:rsidR="00AC0DB5" w:rsidRPr="00773971" w:rsidRDefault="00AC0DB5" w:rsidP="001D6B4E">
      <w:pPr>
        <w:shd w:val="clear" w:color="auto" w:fill="FFFFFF" w:themeFill="background1"/>
        <w:suppressAutoHyphens/>
        <w:autoSpaceDE w:val="0"/>
        <w:spacing w:after="120"/>
        <w:rPr>
          <w:rFonts w:asciiTheme="majorHAnsi" w:eastAsia="Geneva" w:hAnsiTheme="majorHAnsi"/>
          <w:bCs/>
          <w:iCs/>
        </w:rPr>
      </w:pPr>
      <w:r w:rsidRPr="00773971">
        <w:rPr>
          <w:rFonts w:asciiTheme="majorHAnsi" w:eastAsia="Geneva" w:hAnsiTheme="majorHAnsi"/>
          <w:bCs/>
          <w:iCs/>
        </w:rPr>
        <w:t>Jak bylo v předchozím textu několikrát zdůrazněno, odvozo</w:t>
      </w:r>
      <w:r w:rsidR="00696497" w:rsidRPr="00773971">
        <w:rPr>
          <w:rFonts w:asciiTheme="majorHAnsi" w:eastAsia="Geneva" w:hAnsiTheme="majorHAnsi"/>
          <w:bCs/>
          <w:iCs/>
        </w:rPr>
        <w:t>vat inteligentní specializaci separátně od domén znalostní specializace nebo separátně od domén ekonomické specializace nedává smysl. Smysl dává teprve efektivní propojení obou domén vertikálních cílů Národní RIS3 strategie.</w:t>
      </w:r>
    </w:p>
    <w:p w14:paraId="16A826E9" w14:textId="77777777" w:rsidR="00696497" w:rsidRPr="00773971" w:rsidRDefault="00696497" w:rsidP="001D6B4E">
      <w:pPr>
        <w:shd w:val="clear" w:color="auto" w:fill="FFFFFF" w:themeFill="background1"/>
        <w:suppressAutoHyphens/>
        <w:autoSpaceDE w:val="0"/>
        <w:spacing w:after="120"/>
        <w:rPr>
          <w:rFonts w:asciiTheme="majorHAnsi" w:eastAsia="Geneva" w:hAnsiTheme="majorHAnsi"/>
          <w:bCs/>
          <w:iCs/>
        </w:rPr>
      </w:pPr>
      <w:r w:rsidRPr="00773971">
        <w:rPr>
          <w:rFonts w:asciiTheme="majorHAnsi" w:eastAsia="Geneva" w:hAnsiTheme="majorHAnsi"/>
          <w:bCs/>
          <w:iCs/>
        </w:rPr>
        <w:t xml:space="preserve">Na jedné straně musí být výstupem EDP procesu stanovení národních domén znalostní specializace, to je oblastí kde vědeckovýzkumná základna dává atraktivní výsledky s vysokým potenciálem pro inovace a využitelné v praxi. </w:t>
      </w:r>
    </w:p>
    <w:p w14:paraId="4BE972A3" w14:textId="77777777" w:rsidR="00696497" w:rsidRPr="00773971" w:rsidRDefault="00696497" w:rsidP="001D6B4E">
      <w:pPr>
        <w:shd w:val="clear" w:color="auto" w:fill="FFFFFF" w:themeFill="background1"/>
        <w:suppressAutoHyphens/>
        <w:autoSpaceDE w:val="0"/>
        <w:spacing w:after="120"/>
        <w:rPr>
          <w:rFonts w:asciiTheme="majorHAnsi" w:eastAsia="Geneva" w:hAnsiTheme="majorHAnsi"/>
          <w:bCs/>
          <w:iCs/>
        </w:rPr>
      </w:pPr>
      <w:r w:rsidRPr="00773971">
        <w:rPr>
          <w:rFonts w:asciiTheme="majorHAnsi" w:eastAsia="Geneva" w:hAnsiTheme="majorHAnsi"/>
          <w:bCs/>
          <w:iCs/>
        </w:rPr>
        <w:t>Na druhé straně je třeba stejným pro</w:t>
      </w:r>
      <w:r w:rsidR="00773971" w:rsidRPr="00773971">
        <w:rPr>
          <w:rFonts w:asciiTheme="majorHAnsi" w:eastAsia="Geneva" w:hAnsiTheme="majorHAnsi"/>
          <w:bCs/>
          <w:iCs/>
        </w:rPr>
        <w:t>cesem stanovit národní domény ekonomické specializace, to je oblastí kde aplikační sféra dosahuje vysokých parametrů produkce, jak z hlediska objemu uplatněného na tuzemském i zahraničním trhu, tak z hlediska její konkurenceschopnosti.</w:t>
      </w:r>
    </w:p>
    <w:p w14:paraId="55DFC7AE" w14:textId="77777777" w:rsidR="00E80F3B" w:rsidRDefault="00773971" w:rsidP="001D6B4E">
      <w:pPr>
        <w:shd w:val="clear" w:color="auto" w:fill="FFFFFF" w:themeFill="background1"/>
        <w:suppressAutoHyphens/>
        <w:autoSpaceDE w:val="0"/>
        <w:spacing w:after="120"/>
        <w:rPr>
          <w:rFonts w:asciiTheme="majorHAnsi" w:eastAsia="Geneva" w:hAnsiTheme="majorHAnsi"/>
          <w:bCs/>
          <w:iCs/>
        </w:rPr>
      </w:pPr>
      <w:r w:rsidRPr="00773971">
        <w:rPr>
          <w:rFonts w:asciiTheme="majorHAnsi" w:eastAsia="Geneva" w:hAnsiTheme="majorHAnsi"/>
          <w:bCs/>
          <w:iCs/>
        </w:rPr>
        <w:t>V</w:t>
      </w:r>
      <w:r w:rsidR="00E80F3B" w:rsidRPr="00773971">
        <w:rPr>
          <w:rFonts w:asciiTheme="majorHAnsi" w:eastAsia="Geneva" w:hAnsiTheme="majorHAnsi"/>
          <w:bCs/>
          <w:iCs/>
        </w:rPr>
        <w:t> části týkající se EDP procesu a role NIP</w:t>
      </w:r>
      <w:r w:rsidRPr="00773971">
        <w:rPr>
          <w:rFonts w:asciiTheme="majorHAnsi" w:eastAsia="Geneva" w:hAnsiTheme="majorHAnsi"/>
          <w:bCs/>
          <w:iCs/>
        </w:rPr>
        <w:t xml:space="preserve"> bylo v souvislosti s tím uvedeno</w:t>
      </w:r>
      <w:r w:rsidR="00E80F3B" w:rsidRPr="00773971">
        <w:rPr>
          <w:rFonts w:asciiTheme="majorHAnsi" w:eastAsia="Geneva" w:hAnsiTheme="majorHAnsi"/>
          <w:bCs/>
          <w:iCs/>
        </w:rPr>
        <w:t xml:space="preserve">, </w:t>
      </w:r>
      <w:r w:rsidRPr="00773971">
        <w:rPr>
          <w:rFonts w:asciiTheme="majorHAnsi" w:eastAsia="Geneva" w:hAnsiTheme="majorHAnsi"/>
          <w:bCs/>
          <w:iCs/>
        </w:rPr>
        <w:t xml:space="preserve">že úloha NIP </w:t>
      </w:r>
      <w:r w:rsidR="00E80F3B" w:rsidRPr="00773971">
        <w:rPr>
          <w:rFonts w:asciiTheme="majorHAnsi" w:eastAsia="Geneva" w:hAnsiTheme="majorHAnsi"/>
          <w:bCs/>
          <w:iCs/>
        </w:rPr>
        <w:t xml:space="preserve">je nezanedbatelná </w:t>
      </w:r>
      <w:r w:rsidRPr="00773971">
        <w:rPr>
          <w:rFonts w:asciiTheme="majorHAnsi" w:eastAsia="Geneva" w:hAnsiTheme="majorHAnsi"/>
          <w:bCs/>
          <w:iCs/>
        </w:rPr>
        <w:t>také</w:t>
      </w:r>
      <w:r w:rsidR="00E80F3B" w:rsidRPr="00773971">
        <w:rPr>
          <w:rFonts w:asciiTheme="majorHAnsi" w:eastAsia="Geneva" w:hAnsiTheme="majorHAnsi"/>
          <w:bCs/>
          <w:iCs/>
        </w:rPr>
        <w:t xml:space="preserve"> při nastavování bonifikačních kritérií</w:t>
      </w:r>
      <w:r w:rsidRPr="00773971">
        <w:rPr>
          <w:rFonts w:asciiTheme="majorHAnsi" w:eastAsia="Geneva" w:hAnsiTheme="majorHAnsi"/>
          <w:bCs/>
          <w:iCs/>
        </w:rPr>
        <w:t xml:space="preserve"> pro hodnocení projektů</w:t>
      </w:r>
      <w:r w:rsidR="00E80F3B" w:rsidRPr="00773971">
        <w:rPr>
          <w:rFonts w:asciiTheme="majorHAnsi" w:eastAsia="Geneva" w:hAnsiTheme="majorHAnsi"/>
          <w:bCs/>
          <w:iCs/>
        </w:rPr>
        <w:t xml:space="preserve">. </w:t>
      </w:r>
      <w:r w:rsidRPr="00773971">
        <w:rPr>
          <w:rFonts w:asciiTheme="majorHAnsi" w:eastAsia="Geneva" w:hAnsiTheme="majorHAnsi"/>
          <w:bCs/>
          <w:iCs/>
        </w:rPr>
        <w:t xml:space="preserve">S ohledem na </w:t>
      </w:r>
      <w:r w:rsidRPr="00773971">
        <w:rPr>
          <w:rFonts w:asciiTheme="majorHAnsi" w:eastAsia="Geneva" w:hAnsiTheme="majorHAnsi"/>
          <w:bCs/>
          <w:iCs/>
        </w:rPr>
        <w:lastRenderedPageBreak/>
        <w:t>výše uvedené se pak nabízí postavit bonifikac</w:t>
      </w:r>
      <w:r w:rsidR="006F1E70">
        <w:rPr>
          <w:rFonts w:asciiTheme="majorHAnsi" w:eastAsia="Geneva" w:hAnsiTheme="majorHAnsi"/>
          <w:bCs/>
          <w:iCs/>
        </w:rPr>
        <w:t>i</w:t>
      </w:r>
      <w:r w:rsidRPr="00773971">
        <w:rPr>
          <w:rFonts w:asciiTheme="majorHAnsi" w:eastAsia="Geneva" w:hAnsiTheme="majorHAnsi"/>
          <w:bCs/>
          <w:iCs/>
        </w:rPr>
        <w:t xml:space="preserve"> právě na míře zacílení příslušného projektu do průniku obou domén národní specializace – znalostní a ekonomické.</w:t>
      </w:r>
    </w:p>
    <w:p w14:paraId="04FC50B5" w14:textId="77777777" w:rsidR="001D6B4E" w:rsidRDefault="001D6B4E" w:rsidP="005F29A8">
      <w:pPr>
        <w:shd w:val="clear" w:color="auto" w:fill="FFFFFF" w:themeFill="background1"/>
        <w:suppressAutoHyphens/>
        <w:autoSpaceDE w:val="0"/>
        <w:spacing w:after="120"/>
        <w:rPr>
          <w:rFonts w:asciiTheme="majorHAnsi" w:eastAsia="Geneva" w:hAnsiTheme="majorHAnsi"/>
          <w:bCs/>
          <w:iCs/>
        </w:rPr>
      </w:pPr>
    </w:p>
    <w:p w14:paraId="5EB0D1D8" w14:textId="77777777" w:rsidR="00AD7EE3" w:rsidRPr="008521FF" w:rsidRDefault="00AD7EE3" w:rsidP="00AD7EE3">
      <w:pPr>
        <w:pStyle w:val="Nadpis3"/>
        <w:keepNext/>
        <w:keepLines/>
        <w:numPr>
          <w:ilvl w:val="0"/>
          <w:numId w:val="0"/>
        </w:numPr>
        <w:pBdr>
          <w:top w:val="none" w:sz="0" w:space="0" w:color="auto"/>
          <w:left w:val="none" w:sz="0" w:space="0" w:color="auto"/>
        </w:pBdr>
        <w:spacing w:before="40" w:after="0" w:line="293" w:lineRule="auto"/>
        <w:jc w:val="left"/>
        <w:rPr>
          <w:rFonts w:asciiTheme="majorHAnsi" w:eastAsiaTheme="majorEastAsia" w:hAnsiTheme="majorHAnsi" w:cstheme="majorHAnsi"/>
          <w:i/>
          <w:caps/>
          <w:color w:val="004B8D"/>
          <w:spacing w:val="0"/>
          <w:sz w:val="22"/>
          <w:lang w:bidi="ar-SA"/>
        </w:rPr>
      </w:pPr>
      <w:bookmarkStart w:id="105" w:name="_Toc5626481"/>
      <w:r>
        <w:rPr>
          <w:rFonts w:asciiTheme="majorHAnsi" w:eastAsiaTheme="majorEastAsia" w:hAnsiTheme="majorHAnsi" w:cstheme="majorHAnsi"/>
          <w:i/>
          <w:caps/>
          <w:color w:val="004B8D"/>
          <w:spacing w:val="0"/>
          <w:sz w:val="22"/>
          <w:lang w:bidi="ar-SA"/>
        </w:rPr>
        <w:t xml:space="preserve">Dílčí závěry </w:t>
      </w:r>
      <w:r w:rsidR="00040813">
        <w:rPr>
          <w:rFonts w:asciiTheme="majorHAnsi" w:eastAsiaTheme="majorEastAsia" w:hAnsiTheme="majorHAnsi" w:cstheme="majorHAnsi"/>
          <w:i/>
          <w:caps/>
          <w:color w:val="004B8D"/>
          <w:spacing w:val="0"/>
          <w:sz w:val="22"/>
          <w:lang w:bidi="ar-SA"/>
        </w:rPr>
        <w:t>k evaluačnímu okruhu Iv.</w:t>
      </w:r>
      <w:bookmarkEnd w:id="105"/>
    </w:p>
    <w:p w14:paraId="406F3E1C" w14:textId="6124772B" w:rsidR="006323C4" w:rsidRDefault="00AD7EE3" w:rsidP="00A8599E">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autoSpaceDE w:val="0"/>
        <w:spacing w:after="120"/>
        <w:rPr>
          <w:rFonts w:asciiTheme="majorHAnsi" w:eastAsia="Geneva" w:hAnsiTheme="majorHAnsi"/>
          <w:bCs/>
          <w:iCs/>
        </w:rPr>
      </w:pPr>
      <w:r>
        <w:rPr>
          <w:rFonts w:asciiTheme="majorHAnsi" w:eastAsia="Geneva" w:hAnsiTheme="majorHAnsi"/>
          <w:bCs/>
          <w:iCs/>
        </w:rPr>
        <w:t xml:space="preserve">Implementační struktura Národní RIS3 strategie je nastavena a je </w:t>
      </w:r>
      <w:r w:rsidRPr="00040813">
        <w:rPr>
          <w:rFonts w:asciiTheme="majorHAnsi" w:eastAsia="Geneva" w:hAnsiTheme="majorHAnsi"/>
          <w:b/>
          <w:bCs/>
          <w:iCs/>
        </w:rPr>
        <w:t>funkční</w:t>
      </w:r>
      <w:r>
        <w:rPr>
          <w:rFonts w:asciiTheme="majorHAnsi" w:eastAsia="Geneva" w:hAnsiTheme="majorHAnsi"/>
          <w:bCs/>
          <w:iCs/>
        </w:rPr>
        <w:t xml:space="preserve">, avšak s mnoha </w:t>
      </w:r>
      <w:r w:rsidRPr="00040813">
        <w:rPr>
          <w:rFonts w:asciiTheme="majorHAnsi" w:eastAsia="Geneva" w:hAnsiTheme="majorHAnsi"/>
          <w:b/>
          <w:bCs/>
          <w:iCs/>
        </w:rPr>
        <w:t>dílčími výhradami</w:t>
      </w:r>
      <w:r>
        <w:rPr>
          <w:rFonts w:asciiTheme="majorHAnsi" w:eastAsia="Geneva" w:hAnsiTheme="majorHAnsi"/>
          <w:bCs/>
          <w:iCs/>
        </w:rPr>
        <w:t xml:space="preserve">. </w:t>
      </w:r>
    </w:p>
    <w:p w14:paraId="06AE8E91" w14:textId="58DBDCD6" w:rsidR="00774190" w:rsidRDefault="006323C4">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autoSpaceDE w:val="0"/>
        <w:spacing w:after="120"/>
        <w:rPr>
          <w:lang w:bidi="ar-SA"/>
        </w:rPr>
      </w:pPr>
      <w:r>
        <w:rPr>
          <w:lang w:bidi="ar-SA"/>
        </w:rPr>
        <w:t xml:space="preserve">Analytický tým (Oddělení strategie S3 spolu s Národním RIS3 manažerem) se potýká s výraznou personální poddimenzovaností ve vztahu k rozsahu RIS3 agendy. To představuje riziko pro systematické </w:t>
      </w:r>
      <w:r w:rsidRPr="00B704CA">
        <w:rPr>
          <w:b/>
          <w:lang w:bidi="ar-SA"/>
        </w:rPr>
        <w:t>koncepční a</w:t>
      </w:r>
      <w:r>
        <w:rPr>
          <w:lang w:bidi="ar-SA"/>
        </w:rPr>
        <w:t xml:space="preserve"> </w:t>
      </w:r>
      <w:r w:rsidRPr="007404D9">
        <w:rPr>
          <w:b/>
          <w:lang w:bidi="ar-SA"/>
        </w:rPr>
        <w:t>metodické vedení</w:t>
      </w:r>
      <w:r>
        <w:rPr>
          <w:b/>
          <w:lang w:bidi="ar-SA"/>
        </w:rPr>
        <w:t xml:space="preserve">, </w:t>
      </w:r>
      <w:r w:rsidRPr="006323C4">
        <w:rPr>
          <w:lang w:bidi="ar-SA"/>
        </w:rPr>
        <w:t>které je časově náročné a</w:t>
      </w:r>
      <w:r>
        <w:rPr>
          <w:b/>
          <w:lang w:bidi="ar-SA"/>
        </w:rPr>
        <w:t xml:space="preserve"> </w:t>
      </w:r>
      <w:r w:rsidR="008F4C71">
        <w:rPr>
          <w:lang w:bidi="ar-SA"/>
        </w:rPr>
        <w:t>pro plnění aktuálních povinností</w:t>
      </w:r>
      <w:r w:rsidRPr="006323C4">
        <w:rPr>
          <w:lang w:bidi="ar-SA"/>
        </w:rPr>
        <w:t xml:space="preserve"> </w:t>
      </w:r>
      <w:r>
        <w:rPr>
          <w:lang w:bidi="ar-SA"/>
        </w:rPr>
        <w:t>může být odsouváno do pozadí.</w:t>
      </w:r>
      <w:r w:rsidR="00371BCB">
        <w:rPr>
          <w:lang w:bidi="ar-SA"/>
        </w:rPr>
        <w:t xml:space="preserve"> </w:t>
      </w:r>
      <w:r w:rsidR="001E7ED8">
        <w:rPr>
          <w:b/>
          <w:lang w:bidi="ar-SA"/>
        </w:rPr>
        <w:t>Nižší míra</w:t>
      </w:r>
      <w:r w:rsidR="00D46DEB" w:rsidRPr="00040813">
        <w:rPr>
          <w:b/>
          <w:lang w:bidi="ar-SA"/>
        </w:rPr>
        <w:t xml:space="preserve"> </w:t>
      </w:r>
      <w:r w:rsidR="00371BCB" w:rsidRPr="00040813">
        <w:rPr>
          <w:b/>
          <w:lang w:bidi="ar-SA"/>
        </w:rPr>
        <w:t>metodické</w:t>
      </w:r>
      <w:r w:rsidR="001E7ED8">
        <w:rPr>
          <w:b/>
          <w:lang w:bidi="ar-SA"/>
        </w:rPr>
        <w:t>ho</w:t>
      </w:r>
      <w:r w:rsidR="00371BCB" w:rsidRPr="00040813">
        <w:rPr>
          <w:b/>
          <w:lang w:bidi="ar-SA"/>
        </w:rPr>
        <w:t xml:space="preserve"> vedení</w:t>
      </w:r>
      <w:r w:rsidR="00371BCB">
        <w:rPr>
          <w:lang w:bidi="ar-SA"/>
        </w:rPr>
        <w:t xml:space="preserve"> jak ve vztahu k nositelům dotačních programů, tak ve vztahu ke krajům je jednou ze </w:t>
      </w:r>
      <w:r w:rsidR="00371BCB" w:rsidRPr="00040813">
        <w:rPr>
          <w:b/>
          <w:lang w:bidi="ar-SA"/>
        </w:rPr>
        <w:t>slab</w:t>
      </w:r>
      <w:r w:rsidR="006A4631">
        <w:rPr>
          <w:b/>
          <w:lang w:bidi="ar-SA"/>
        </w:rPr>
        <w:t>š</w:t>
      </w:r>
      <w:r w:rsidR="00072132">
        <w:rPr>
          <w:b/>
          <w:lang w:bidi="ar-SA"/>
        </w:rPr>
        <w:t>ích</w:t>
      </w:r>
      <w:r w:rsidR="00371BCB" w:rsidRPr="00040813">
        <w:rPr>
          <w:b/>
          <w:lang w:bidi="ar-SA"/>
        </w:rPr>
        <w:t xml:space="preserve"> stránek</w:t>
      </w:r>
      <w:r w:rsidR="00371BCB">
        <w:rPr>
          <w:lang w:bidi="ar-SA"/>
        </w:rPr>
        <w:t xml:space="preserve"> realizace Národní RIS3 strategie. </w:t>
      </w:r>
    </w:p>
    <w:p w14:paraId="71A014B5" w14:textId="0CA8B14D" w:rsidR="009426E7" w:rsidRDefault="00371BCB">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autoSpaceDE w:val="0"/>
        <w:spacing w:after="120"/>
        <w:rPr>
          <w:lang w:bidi="ar-SA"/>
        </w:rPr>
      </w:pPr>
      <w:r>
        <w:rPr>
          <w:bCs/>
          <w:szCs w:val="22"/>
        </w:rPr>
        <w:t xml:space="preserve">Realizace EDP procesu prostřednictvím NIP se vyznačuje omezenou použitelností výstupů vzešlých z tohoto procesu, neboť </w:t>
      </w:r>
      <w:r w:rsidRPr="00876304">
        <w:rPr>
          <w:rFonts w:asciiTheme="majorHAnsi" w:eastAsia="Geneva" w:hAnsiTheme="majorHAnsi"/>
          <w:bCs/>
          <w:iCs/>
        </w:rPr>
        <w:t xml:space="preserve">témata VaVaI identifikována prostřednictvím EDP jsou formulována </w:t>
      </w:r>
      <w:r w:rsidRPr="00617CA9">
        <w:rPr>
          <w:rFonts w:asciiTheme="majorHAnsi" w:eastAsia="Geneva" w:hAnsiTheme="majorHAnsi"/>
          <w:b/>
          <w:bCs/>
          <w:iCs/>
        </w:rPr>
        <w:t>obecně a široce</w:t>
      </w:r>
      <w:r>
        <w:rPr>
          <w:rFonts w:asciiTheme="majorHAnsi" w:eastAsia="Geneva" w:hAnsiTheme="majorHAnsi"/>
          <w:b/>
          <w:bCs/>
          <w:iCs/>
        </w:rPr>
        <w:t xml:space="preserve">. </w:t>
      </w:r>
      <w:r w:rsidR="005B4FB7" w:rsidRPr="00DA77F8">
        <w:rPr>
          <w:rFonts w:asciiTheme="majorHAnsi" w:hAnsiTheme="majorHAnsi" w:cstheme="majorHAnsi"/>
        </w:rPr>
        <w:t>Ze strany podnikatelského sektoru lze vnímat jistou míru nedůvěru ve smysluplnost NIP.</w:t>
      </w:r>
      <w:r w:rsidR="009426E7">
        <w:rPr>
          <w:lang w:bidi="ar-SA"/>
        </w:rPr>
        <w:t xml:space="preserve"> </w:t>
      </w:r>
      <w:r>
        <w:rPr>
          <w:lang w:bidi="ar-SA"/>
        </w:rPr>
        <w:t xml:space="preserve">Není </w:t>
      </w:r>
      <w:r w:rsidR="00D2500D">
        <w:rPr>
          <w:lang w:bidi="ar-SA"/>
        </w:rPr>
        <w:t xml:space="preserve">zcela </w:t>
      </w:r>
      <w:r w:rsidR="009426E7" w:rsidRPr="0004366A">
        <w:rPr>
          <w:b/>
          <w:lang w:bidi="ar-SA"/>
        </w:rPr>
        <w:t>dostatečn</w:t>
      </w:r>
      <w:r>
        <w:rPr>
          <w:b/>
          <w:lang w:bidi="ar-SA"/>
        </w:rPr>
        <w:t>ě</w:t>
      </w:r>
      <w:r w:rsidR="009426E7" w:rsidRPr="0004366A">
        <w:rPr>
          <w:b/>
          <w:lang w:bidi="ar-SA"/>
        </w:rPr>
        <w:t xml:space="preserve"> využíván potenciál NIP</w:t>
      </w:r>
      <w:r w:rsidR="009426E7">
        <w:rPr>
          <w:b/>
          <w:lang w:bidi="ar-SA"/>
        </w:rPr>
        <w:t xml:space="preserve">, </w:t>
      </w:r>
      <w:r w:rsidR="009426E7" w:rsidRPr="0004366A">
        <w:rPr>
          <w:b/>
          <w:lang w:bidi="ar-SA"/>
        </w:rPr>
        <w:t>přenos impulsů vzešlých z činnosti NIP na řídicí úroveň</w:t>
      </w:r>
      <w:r w:rsidR="009426E7">
        <w:rPr>
          <w:b/>
          <w:lang w:bidi="ar-SA"/>
        </w:rPr>
        <w:t xml:space="preserve"> </w:t>
      </w:r>
      <w:r>
        <w:rPr>
          <w:b/>
          <w:lang w:bidi="ar-SA"/>
        </w:rPr>
        <w:t xml:space="preserve">je omezený </w:t>
      </w:r>
      <w:r w:rsidR="009426E7">
        <w:rPr>
          <w:b/>
          <w:lang w:bidi="ar-SA"/>
        </w:rPr>
        <w:t xml:space="preserve">a </w:t>
      </w:r>
      <w:r w:rsidR="009426E7" w:rsidRPr="00D2500D">
        <w:rPr>
          <w:lang w:bidi="ar-SA"/>
        </w:rPr>
        <w:t>činnosti NIP</w:t>
      </w:r>
      <w:r w:rsidRPr="00D2500D">
        <w:rPr>
          <w:lang w:bidi="ar-SA"/>
        </w:rPr>
        <w:t xml:space="preserve"> se </w:t>
      </w:r>
      <w:r w:rsidR="00D2500D" w:rsidRPr="00D2500D">
        <w:rPr>
          <w:lang w:bidi="ar-SA"/>
        </w:rPr>
        <w:t xml:space="preserve">v minulosti </w:t>
      </w:r>
      <w:r w:rsidRPr="00D2500D">
        <w:rPr>
          <w:lang w:bidi="ar-SA"/>
        </w:rPr>
        <w:t>vyznač</w:t>
      </w:r>
      <w:r w:rsidR="00D2500D" w:rsidRPr="00D2500D">
        <w:rPr>
          <w:lang w:bidi="ar-SA"/>
        </w:rPr>
        <w:t>ovaly</w:t>
      </w:r>
      <w:r>
        <w:rPr>
          <w:b/>
          <w:lang w:bidi="ar-SA"/>
        </w:rPr>
        <w:t xml:space="preserve"> nesystematickým přístupem</w:t>
      </w:r>
      <w:r w:rsidR="009426E7">
        <w:rPr>
          <w:lang w:bidi="ar-SA"/>
        </w:rPr>
        <w:t xml:space="preserve">. </w:t>
      </w:r>
      <w:r>
        <w:rPr>
          <w:lang w:bidi="ar-SA"/>
        </w:rPr>
        <w:t>V</w:t>
      </w:r>
      <w:r w:rsidR="009426E7">
        <w:rPr>
          <w:lang w:bidi="ar-SA"/>
        </w:rPr>
        <w:t xml:space="preserve"> čele NIP by měl stát </w:t>
      </w:r>
      <w:r w:rsidR="009426E7" w:rsidRPr="006C5AA5">
        <w:rPr>
          <w:b/>
          <w:lang w:bidi="ar-SA"/>
        </w:rPr>
        <w:t>odborný garant</w:t>
      </w:r>
      <w:r w:rsidR="009426E7">
        <w:rPr>
          <w:lang w:bidi="ar-SA"/>
        </w:rPr>
        <w:t xml:space="preserve">. Facilitace expertních diskusí NIP by měla být přenechána </w:t>
      </w:r>
      <w:r w:rsidR="009426E7" w:rsidRPr="006C5AA5">
        <w:rPr>
          <w:b/>
          <w:lang w:bidi="ar-SA"/>
        </w:rPr>
        <w:t>erudovaným odborníkům daného sektoru</w:t>
      </w:r>
      <w:r w:rsidR="009426E7">
        <w:rPr>
          <w:lang w:bidi="ar-SA"/>
        </w:rPr>
        <w:t xml:space="preserve"> (prioritního oboru), kteří budou schopni vést diskusi na </w:t>
      </w:r>
      <w:r w:rsidR="009426E7" w:rsidRPr="006C5AA5">
        <w:rPr>
          <w:b/>
          <w:lang w:bidi="ar-SA"/>
        </w:rPr>
        <w:t>vysoké odborné úrovni</w:t>
      </w:r>
      <w:r w:rsidR="009426E7">
        <w:rPr>
          <w:lang w:bidi="ar-SA"/>
        </w:rPr>
        <w:t xml:space="preserve"> a budou </w:t>
      </w:r>
      <w:r w:rsidR="009426E7" w:rsidRPr="006C5AA5">
        <w:rPr>
          <w:lang w:bidi="ar-SA"/>
        </w:rPr>
        <w:t xml:space="preserve">považováni </w:t>
      </w:r>
      <w:r w:rsidR="009426E7">
        <w:rPr>
          <w:lang w:bidi="ar-SA"/>
        </w:rPr>
        <w:t xml:space="preserve">ostatními stakeholdery </w:t>
      </w:r>
      <w:r w:rsidR="009426E7" w:rsidRPr="006C5AA5">
        <w:rPr>
          <w:lang w:bidi="ar-SA"/>
        </w:rPr>
        <w:t>za</w:t>
      </w:r>
      <w:r w:rsidR="009426E7" w:rsidRPr="006C5AA5">
        <w:rPr>
          <w:b/>
          <w:lang w:bidi="ar-SA"/>
        </w:rPr>
        <w:t xml:space="preserve"> odborné autority</w:t>
      </w:r>
      <w:r w:rsidR="009426E7">
        <w:rPr>
          <w:lang w:bidi="ar-SA"/>
        </w:rPr>
        <w:t>.</w:t>
      </w:r>
    </w:p>
    <w:p w14:paraId="1E657DE4" w14:textId="411DB194" w:rsidR="00170EBC" w:rsidRPr="005F29A8" w:rsidRDefault="00170EBC" w:rsidP="00DA77F8">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autoSpaceDE w:val="0"/>
        <w:spacing w:after="120"/>
        <w:rPr>
          <w:rFonts w:asciiTheme="majorHAnsi" w:eastAsia="Geneva" w:hAnsiTheme="majorHAnsi"/>
          <w:bCs/>
          <w:iCs/>
        </w:rPr>
        <w:sectPr w:rsidR="00170EBC" w:rsidRPr="005F29A8" w:rsidSect="00AF4524">
          <w:headerReference w:type="default" r:id="rId43"/>
          <w:footerReference w:type="default" r:id="rId44"/>
          <w:headerReference w:type="first" r:id="rId45"/>
          <w:pgSz w:w="11906" w:h="16838"/>
          <w:pgMar w:top="1764" w:right="1558" w:bottom="1474" w:left="1276" w:header="708" w:footer="708" w:gutter="0"/>
          <w:cols w:space="708"/>
          <w:titlePg/>
          <w:docGrid w:linePitch="360"/>
        </w:sectPr>
      </w:pPr>
      <w:r w:rsidRPr="00D55669">
        <w:rPr>
          <w:rFonts w:asciiTheme="majorHAnsi" w:eastAsia="Geneva" w:hAnsiTheme="majorHAnsi"/>
          <w:iCs/>
        </w:rPr>
        <w:t xml:space="preserve">Důsledkem </w:t>
      </w:r>
      <w:r>
        <w:rPr>
          <w:rFonts w:asciiTheme="majorHAnsi" w:eastAsia="Geneva" w:hAnsiTheme="majorHAnsi"/>
          <w:iCs/>
        </w:rPr>
        <w:t>širšího zacílení</w:t>
      </w:r>
      <w:r w:rsidRPr="00D55669">
        <w:rPr>
          <w:rFonts w:asciiTheme="majorHAnsi" w:eastAsia="Geneva" w:hAnsiTheme="majorHAnsi"/>
          <w:iCs/>
        </w:rPr>
        <w:t xml:space="preserve"> strategie, </w:t>
      </w:r>
      <w:r>
        <w:rPr>
          <w:rFonts w:asciiTheme="majorHAnsi" w:eastAsia="Geneva" w:hAnsiTheme="majorHAnsi"/>
          <w:iCs/>
        </w:rPr>
        <w:t xml:space="preserve"> může být to</w:t>
      </w:r>
      <w:r w:rsidRPr="00D55669">
        <w:rPr>
          <w:rFonts w:asciiTheme="majorHAnsi" w:eastAsia="Geneva" w:hAnsiTheme="majorHAnsi"/>
          <w:iCs/>
        </w:rPr>
        <w:t xml:space="preserve">, </w:t>
      </w:r>
      <w:r>
        <w:rPr>
          <w:rFonts w:asciiTheme="majorHAnsi" w:eastAsia="Geneva" w:hAnsiTheme="majorHAnsi"/>
          <w:iCs/>
        </w:rPr>
        <w:t>že dojde k podpoře projektů, které mají  omezený</w:t>
      </w:r>
      <w:r w:rsidRPr="00D55669">
        <w:rPr>
          <w:rFonts w:asciiTheme="majorHAnsi" w:eastAsia="Geneva" w:hAnsiTheme="majorHAnsi"/>
          <w:iCs/>
        </w:rPr>
        <w:t xml:space="preserve"> dopad na </w:t>
      </w:r>
      <w:r>
        <w:rPr>
          <w:rFonts w:asciiTheme="majorHAnsi" w:eastAsia="Geneva" w:hAnsiTheme="majorHAnsi"/>
          <w:iCs/>
        </w:rPr>
        <w:t>naplnění cílů RIS3 strategie</w:t>
      </w:r>
      <w:r w:rsidRPr="00D55669">
        <w:rPr>
          <w:rFonts w:asciiTheme="majorHAnsi" w:eastAsia="Geneva" w:hAnsiTheme="majorHAnsi"/>
          <w:iCs/>
        </w:rPr>
        <w:t>.</w:t>
      </w:r>
      <w:r w:rsidR="00F11BF1" w:rsidRPr="00F11BF1">
        <w:rPr>
          <w:rFonts w:asciiTheme="majorHAnsi" w:eastAsia="Geneva" w:hAnsiTheme="majorHAnsi"/>
          <w:bCs/>
          <w:iCs/>
        </w:rPr>
        <w:t xml:space="preserve"> </w:t>
      </w:r>
      <w:r w:rsidR="00F11BF1">
        <w:rPr>
          <w:rFonts w:asciiTheme="majorHAnsi" w:eastAsia="Geneva" w:hAnsiTheme="majorHAnsi"/>
          <w:bCs/>
          <w:iCs/>
        </w:rPr>
        <w:t xml:space="preserve">Výrazná </w:t>
      </w:r>
      <w:r w:rsidR="00F11BF1" w:rsidRPr="00040813">
        <w:rPr>
          <w:rFonts w:asciiTheme="majorHAnsi" w:eastAsia="Geneva" w:hAnsiTheme="majorHAnsi"/>
          <w:b/>
          <w:bCs/>
          <w:iCs/>
        </w:rPr>
        <w:t>bonifikace projektů</w:t>
      </w:r>
      <w:r w:rsidR="00F11BF1">
        <w:rPr>
          <w:rFonts w:asciiTheme="majorHAnsi" w:eastAsia="Geneva" w:hAnsiTheme="majorHAnsi"/>
          <w:bCs/>
          <w:iCs/>
        </w:rPr>
        <w:t>, které cílí do nosných národních domén inteligentní specializace by přispěla k efektivnímu zacílení finančních zdrojů.</w:t>
      </w:r>
    </w:p>
    <w:p w14:paraId="2A94E50C" w14:textId="77777777" w:rsidR="00CB6219" w:rsidRDefault="006107DB" w:rsidP="00246ECF">
      <w:pPr>
        <w:pStyle w:val="Nadpis1"/>
        <w:numPr>
          <w:ilvl w:val="0"/>
          <w:numId w:val="0"/>
        </w:numPr>
        <w:pBdr>
          <w:top w:val="none" w:sz="0" w:space="0" w:color="auto"/>
          <w:left w:val="none" w:sz="0" w:space="0" w:color="auto"/>
        </w:pBdr>
        <w:rPr>
          <w:rFonts w:asciiTheme="majorHAnsi" w:eastAsiaTheme="majorEastAsia" w:hAnsiTheme="majorHAnsi" w:cstheme="majorHAnsi"/>
          <w:color w:val="004B8D"/>
          <w:spacing w:val="0"/>
          <w:sz w:val="32"/>
          <w:szCs w:val="32"/>
          <w:lang w:bidi="ar-SA"/>
        </w:rPr>
      </w:pPr>
      <w:bookmarkStart w:id="106" w:name="_Toc5626482"/>
      <w:r>
        <w:rPr>
          <w:rFonts w:asciiTheme="majorHAnsi" w:eastAsiaTheme="majorEastAsia" w:hAnsiTheme="majorHAnsi" w:cstheme="majorHAnsi"/>
          <w:color w:val="004B8D"/>
          <w:spacing w:val="0"/>
          <w:sz w:val="32"/>
          <w:szCs w:val="32"/>
          <w:lang w:bidi="ar-SA"/>
        </w:rPr>
        <w:lastRenderedPageBreak/>
        <w:t>7</w:t>
      </w:r>
      <w:r w:rsidR="00EA3935" w:rsidRPr="008E50DD">
        <w:rPr>
          <w:rFonts w:asciiTheme="majorHAnsi" w:eastAsiaTheme="majorEastAsia" w:hAnsiTheme="majorHAnsi" w:cstheme="majorHAnsi"/>
          <w:color w:val="004B8D"/>
          <w:spacing w:val="0"/>
          <w:sz w:val="32"/>
          <w:szCs w:val="32"/>
          <w:lang w:bidi="ar-SA"/>
        </w:rPr>
        <w:t xml:space="preserve">. </w:t>
      </w:r>
      <w:r w:rsidR="0049425C">
        <w:rPr>
          <w:rFonts w:asciiTheme="majorHAnsi" w:eastAsiaTheme="majorEastAsia" w:hAnsiTheme="majorHAnsi" w:cstheme="majorHAnsi"/>
          <w:color w:val="004B8D"/>
          <w:spacing w:val="0"/>
          <w:sz w:val="32"/>
          <w:szCs w:val="32"/>
          <w:lang w:bidi="ar-SA"/>
        </w:rPr>
        <w:t>Souhrn hlavních z</w:t>
      </w:r>
      <w:r w:rsidR="00BC48D1">
        <w:rPr>
          <w:rFonts w:asciiTheme="majorHAnsi" w:eastAsiaTheme="majorEastAsia" w:hAnsiTheme="majorHAnsi" w:cstheme="majorHAnsi"/>
          <w:color w:val="004B8D"/>
          <w:spacing w:val="0"/>
          <w:sz w:val="32"/>
          <w:szCs w:val="32"/>
          <w:lang w:bidi="ar-SA"/>
        </w:rPr>
        <w:t>ávěr</w:t>
      </w:r>
      <w:r w:rsidR="0049425C">
        <w:rPr>
          <w:rFonts w:asciiTheme="majorHAnsi" w:eastAsiaTheme="majorEastAsia" w:hAnsiTheme="majorHAnsi" w:cstheme="majorHAnsi"/>
          <w:color w:val="004B8D"/>
          <w:spacing w:val="0"/>
          <w:sz w:val="32"/>
          <w:szCs w:val="32"/>
          <w:lang w:bidi="ar-SA"/>
        </w:rPr>
        <w:t>ů</w:t>
      </w:r>
      <w:r w:rsidR="00BC48D1">
        <w:rPr>
          <w:rFonts w:asciiTheme="majorHAnsi" w:eastAsiaTheme="majorEastAsia" w:hAnsiTheme="majorHAnsi" w:cstheme="majorHAnsi"/>
          <w:color w:val="004B8D"/>
          <w:spacing w:val="0"/>
          <w:sz w:val="32"/>
          <w:szCs w:val="32"/>
          <w:lang w:bidi="ar-SA"/>
        </w:rPr>
        <w:t xml:space="preserve"> a doporučení</w:t>
      </w:r>
      <w:bookmarkEnd w:id="106"/>
    </w:p>
    <w:p w14:paraId="2D23B9FA" w14:textId="77777777" w:rsidR="00CD5FDA" w:rsidRPr="0093522F" w:rsidRDefault="00CD5FDA" w:rsidP="007105E9">
      <w:pPr>
        <w:pBdr>
          <w:top w:val="single" w:sz="4" w:space="1" w:color="auto"/>
          <w:left w:val="single" w:sz="4" w:space="4" w:color="auto"/>
          <w:bottom w:val="single" w:sz="4" w:space="1" w:color="auto"/>
          <w:right w:val="single" w:sz="4" w:space="4" w:color="auto"/>
        </w:pBdr>
        <w:shd w:val="clear" w:color="auto" w:fill="D9D9D9" w:themeFill="background1" w:themeFillShade="D9"/>
        <w:rPr>
          <w:lang w:bidi="ar-SA"/>
        </w:rPr>
      </w:pPr>
      <w:r w:rsidRPr="0093522F">
        <w:rPr>
          <w:lang w:bidi="ar-SA"/>
        </w:rPr>
        <w:t xml:space="preserve">ČR začala uplatňovat koncept RIS3 strategie, tak jak ho vnímá Evropská komise, teprve nedávno. Za 5 let se podařilo nastavit </w:t>
      </w:r>
      <w:r w:rsidRPr="007105E9">
        <w:rPr>
          <w:b/>
          <w:lang w:bidi="ar-SA"/>
        </w:rPr>
        <w:t>základní rámec</w:t>
      </w:r>
      <w:r w:rsidRPr="0093522F">
        <w:rPr>
          <w:lang w:bidi="ar-SA"/>
        </w:rPr>
        <w:t xml:space="preserve"> fungování RIS3 strategie v ČR a  </w:t>
      </w:r>
      <w:r w:rsidRPr="007105E9">
        <w:rPr>
          <w:b/>
          <w:lang w:bidi="ar-SA"/>
        </w:rPr>
        <w:t>položit základy</w:t>
      </w:r>
      <w:r w:rsidRPr="0093522F">
        <w:rPr>
          <w:lang w:bidi="ar-SA"/>
        </w:rPr>
        <w:t xml:space="preserve"> pro další rozvíjení EDP procesu.</w:t>
      </w:r>
      <w:r>
        <w:rPr>
          <w:lang w:bidi="ar-SA"/>
        </w:rPr>
        <w:t xml:space="preserve"> </w:t>
      </w:r>
    </w:p>
    <w:p w14:paraId="4EA283A3" w14:textId="77777777" w:rsidR="00CD5FDA" w:rsidRDefault="00386C36" w:rsidP="007105E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heme="majorHAnsi" w:eastAsia="Geneva" w:hAnsiTheme="majorHAnsi"/>
          <w:bCs/>
          <w:iCs/>
        </w:rPr>
      </w:pPr>
      <w:r>
        <w:rPr>
          <w:rFonts w:asciiTheme="majorHAnsi" w:eastAsia="Geneva" w:hAnsiTheme="majorHAnsi"/>
          <w:bCs/>
          <w:iCs/>
        </w:rPr>
        <w:t xml:space="preserve">Ačkoliv v rámci této evaluace bylo identifikováno množství slabých míst v procesu implementace Národní RIS3 strategie, tak záměrem evaluátora v žádném případě nebylo snižovat význam obrovského úsilí a práce stovek lidí, kteří se na nastavování celého systému podíleli. Spíše naopak, </w:t>
      </w:r>
      <w:r w:rsidR="004C2411">
        <w:rPr>
          <w:rFonts w:asciiTheme="majorHAnsi" w:eastAsia="Geneva" w:hAnsiTheme="majorHAnsi"/>
          <w:bCs/>
          <w:iCs/>
        </w:rPr>
        <w:t xml:space="preserve">evaluátor </w:t>
      </w:r>
      <w:r w:rsidRPr="007105E9">
        <w:rPr>
          <w:rFonts w:asciiTheme="majorHAnsi" w:eastAsia="Geneva" w:hAnsiTheme="majorHAnsi"/>
          <w:b/>
          <w:bCs/>
          <w:iCs/>
        </w:rPr>
        <w:t>positivně hodnotí</w:t>
      </w:r>
      <w:r>
        <w:rPr>
          <w:rFonts w:asciiTheme="majorHAnsi" w:eastAsia="Geneva" w:hAnsiTheme="majorHAnsi"/>
          <w:bCs/>
          <w:iCs/>
        </w:rPr>
        <w:t xml:space="preserve"> </w:t>
      </w:r>
      <w:r>
        <w:rPr>
          <w:lang w:bidi="ar-SA"/>
        </w:rPr>
        <w:t xml:space="preserve">ohromný kus práce, který bylo nutné </w:t>
      </w:r>
      <w:r w:rsidR="007105E9">
        <w:rPr>
          <w:lang w:bidi="ar-SA"/>
        </w:rPr>
        <w:t>vykonat</w:t>
      </w:r>
      <w:r>
        <w:rPr>
          <w:lang w:bidi="ar-SA"/>
        </w:rPr>
        <w:t xml:space="preserve">, abychom </w:t>
      </w:r>
      <w:r w:rsidR="004C2411">
        <w:rPr>
          <w:lang w:bidi="ar-SA"/>
        </w:rPr>
        <w:t xml:space="preserve">dnes </w:t>
      </w:r>
      <w:r>
        <w:rPr>
          <w:lang w:bidi="ar-SA"/>
        </w:rPr>
        <w:t xml:space="preserve">mohli konstatovat, že ČR implementuje koncept RIS3 strategie.  </w:t>
      </w:r>
    </w:p>
    <w:p w14:paraId="4BA0D98F" w14:textId="77777777" w:rsidR="00CD5FDA" w:rsidRDefault="004C2411" w:rsidP="007105E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heme="majorHAnsi" w:eastAsia="Geneva" w:hAnsiTheme="majorHAnsi"/>
          <w:bCs/>
          <w:iCs/>
        </w:rPr>
      </w:pPr>
      <w:r>
        <w:rPr>
          <w:rFonts w:asciiTheme="majorHAnsi" w:eastAsia="Geneva" w:hAnsiTheme="majorHAnsi"/>
          <w:bCs/>
          <w:iCs/>
        </w:rPr>
        <w:t xml:space="preserve">Záměrem této evaluace je upozornit na aspekty, které negativně působí na realizaci Národní RIS3 strategie a mohou tak ovlivňovat její primární účel a vnímání zainteresovanými stakeholdery. Cílem je </w:t>
      </w:r>
      <w:r w:rsidRPr="007105E9">
        <w:rPr>
          <w:rFonts w:asciiTheme="majorHAnsi" w:eastAsia="Geneva" w:hAnsiTheme="majorHAnsi"/>
          <w:b/>
          <w:bCs/>
          <w:iCs/>
        </w:rPr>
        <w:t>poučit se</w:t>
      </w:r>
      <w:r>
        <w:rPr>
          <w:rFonts w:asciiTheme="majorHAnsi" w:eastAsia="Geneva" w:hAnsiTheme="majorHAnsi"/>
          <w:bCs/>
          <w:iCs/>
        </w:rPr>
        <w:t xml:space="preserve"> z dosavadních chyb a přijmout taková opatření, která budou ve svém důsledku přidanou hodnotou pro konkurenceschopné inovační prostředí v ČR v dalším období</w:t>
      </w:r>
      <w:r w:rsidR="007105E9">
        <w:rPr>
          <w:rFonts w:asciiTheme="majorHAnsi" w:eastAsia="Geneva" w:hAnsiTheme="majorHAnsi"/>
          <w:bCs/>
          <w:iCs/>
        </w:rPr>
        <w:t xml:space="preserve"> (2021+)</w:t>
      </w:r>
      <w:r>
        <w:rPr>
          <w:rFonts w:asciiTheme="majorHAnsi" w:eastAsia="Geneva" w:hAnsiTheme="majorHAnsi"/>
          <w:bCs/>
          <w:iCs/>
        </w:rPr>
        <w:t xml:space="preserve">. </w:t>
      </w:r>
    </w:p>
    <w:p w14:paraId="74C71884" w14:textId="77777777" w:rsidR="004C2411" w:rsidRPr="004C2411" w:rsidRDefault="004C2411" w:rsidP="007105E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heme="majorHAnsi" w:eastAsia="Geneva" w:hAnsiTheme="majorHAnsi"/>
          <w:b/>
          <w:bCs/>
          <w:iCs/>
          <w:u w:val="single"/>
        </w:rPr>
      </w:pPr>
      <w:r w:rsidRPr="004C2411">
        <w:rPr>
          <w:rFonts w:asciiTheme="majorHAnsi" w:eastAsia="Geneva" w:hAnsiTheme="majorHAnsi"/>
          <w:b/>
          <w:bCs/>
          <w:iCs/>
          <w:u w:val="single"/>
        </w:rPr>
        <w:t xml:space="preserve">Hlavní závěr: </w:t>
      </w:r>
    </w:p>
    <w:p w14:paraId="15046A6E" w14:textId="77777777" w:rsidR="00DF5949" w:rsidRDefault="00DF5949" w:rsidP="007105E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heme="majorHAnsi" w:eastAsia="Geneva" w:hAnsiTheme="majorHAnsi"/>
          <w:b/>
          <w:bCs/>
          <w:iCs/>
        </w:rPr>
      </w:pPr>
      <w:r>
        <w:rPr>
          <w:rFonts w:asciiTheme="majorHAnsi" w:eastAsia="Geneva" w:hAnsiTheme="majorHAnsi"/>
          <w:bCs/>
          <w:iCs/>
        </w:rPr>
        <w:t xml:space="preserve">Národní RIS3 strategie by měla mít charakter podstatně </w:t>
      </w:r>
      <w:r w:rsidRPr="001578F8">
        <w:rPr>
          <w:rFonts w:asciiTheme="majorHAnsi" w:eastAsia="Geneva" w:hAnsiTheme="majorHAnsi"/>
          <w:b/>
          <w:bCs/>
          <w:iCs/>
        </w:rPr>
        <w:t>stručnějšího, pochopitelnějšího a srozumitelnějšího dokumentu používající</w:t>
      </w:r>
      <w:r>
        <w:rPr>
          <w:rFonts w:asciiTheme="majorHAnsi" w:eastAsia="Geneva" w:hAnsiTheme="majorHAnsi"/>
          <w:b/>
          <w:bCs/>
          <w:iCs/>
        </w:rPr>
        <w:t>ho</w:t>
      </w:r>
      <w:r w:rsidRPr="001578F8">
        <w:rPr>
          <w:rFonts w:asciiTheme="majorHAnsi" w:eastAsia="Geneva" w:hAnsiTheme="majorHAnsi"/>
          <w:b/>
          <w:bCs/>
          <w:iCs/>
        </w:rPr>
        <w:t xml:space="preserve"> jednoznačnou terminologii s jasně vytýčenými cíl</w:t>
      </w:r>
      <w:r>
        <w:rPr>
          <w:rFonts w:asciiTheme="majorHAnsi" w:eastAsia="Geneva" w:hAnsiTheme="majorHAnsi"/>
          <w:b/>
          <w:bCs/>
          <w:iCs/>
        </w:rPr>
        <w:t>i</w:t>
      </w:r>
      <w:r w:rsidRPr="001578F8">
        <w:rPr>
          <w:rFonts w:asciiTheme="majorHAnsi" w:eastAsia="Geneva" w:hAnsiTheme="majorHAnsi"/>
          <w:b/>
          <w:bCs/>
          <w:iCs/>
        </w:rPr>
        <w:t xml:space="preserve"> a usilující o koncentraci podpory do nosných znalostních domén a aplikačních odvětví.</w:t>
      </w:r>
    </w:p>
    <w:p w14:paraId="6573B5C8" w14:textId="77777777" w:rsidR="00DF5949" w:rsidRPr="00DF5949" w:rsidRDefault="00DF5949" w:rsidP="00DF5949">
      <w:pPr>
        <w:rPr>
          <w:lang w:bidi="ar-SA"/>
        </w:rPr>
      </w:pPr>
    </w:p>
    <w:tbl>
      <w:tblPr>
        <w:tblStyle w:val="Svtlseznamzvraznn12"/>
        <w:tblW w:w="13750"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6521"/>
        <w:gridCol w:w="7229"/>
      </w:tblGrid>
      <w:tr w:rsidR="002B14BB" w:rsidRPr="00093A94" w14:paraId="72A95E8C" w14:textId="77777777" w:rsidTr="00DF59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1" w:type="dxa"/>
            <w:vAlign w:val="center"/>
          </w:tcPr>
          <w:p w14:paraId="23119FDC" w14:textId="77777777" w:rsidR="002B14BB" w:rsidRPr="00093A94" w:rsidRDefault="002B14BB" w:rsidP="009B65B9">
            <w:pPr>
              <w:spacing w:before="60" w:after="60" w:line="240" w:lineRule="auto"/>
              <w:jc w:val="center"/>
              <w:rPr>
                <w:rFonts w:ascii="Calibri" w:hAnsi="Calibri" w:cstheme="majorHAnsi"/>
              </w:rPr>
            </w:pPr>
            <w:r w:rsidRPr="00093A94">
              <w:rPr>
                <w:rFonts w:ascii="Calibri" w:hAnsi="Calibri" w:cstheme="majorHAnsi"/>
              </w:rPr>
              <w:t xml:space="preserve">Závěry/Souhrn zjištění </w:t>
            </w:r>
          </w:p>
        </w:tc>
        <w:tc>
          <w:tcPr>
            <w:tcW w:w="7229" w:type="dxa"/>
            <w:vAlign w:val="center"/>
          </w:tcPr>
          <w:p w14:paraId="762E8B78" w14:textId="77777777" w:rsidR="002B14BB" w:rsidRPr="00093A94" w:rsidRDefault="002B14BB" w:rsidP="009B65B9">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theme="majorHAnsi"/>
              </w:rPr>
            </w:pPr>
            <w:r w:rsidRPr="00093A94">
              <w:rPr>
                <w:rFonts w:ascii="Calibri" w:hAnsi="Calibri" w:cstheme="majorHAnsi"/>
              </w:rPr>
              <w:t>Doporučení</w:t>
            </w:r>
          </w:p>
        </w:tc>
      </w:tr>
      <w:tr w:rsidR="00B176CC" w:rsidRPr="00093A94" w14:paraId="7F3F53FD" w14:textId="77777777" w:rsidTr="00DF59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1" w:type="dxa"/>
          </w:tcPr>
          <w:p w14:paraId="669D06AF" w14:textId="77777777" w:rsidR="00B176CC" w:rsidRPr="00093A94" w:rsidRDefault="00A94012" w:rsidP="009B65B9">
            <w:pPr>
              <w:spacing w:before="60" w:after="120" w:line="240" w:lineRule="auto"/>
              <w:jc w:val="left"/>
              <w:rPr>
                <w:rFonts w:ascii="Calibri" w:hAnsi="Calibri" w:cstheme="majorHAnsi"/>
                <w:u w:val="single"/>
              </w:rPr>
            </w:pPr>
            <w:r w:rsidRPr="00093A94">
              <w:rPr>
                <w:rFonts w:ascii="Calibri" w:hAnsi="Calibri" w:cstheme="majorHAnsi"/>
                <w:u w:val="single"/>
              </w:rPr>
              <w:t>Specializace a zacílení Národní RIS3</w:t>
            </w:r>
          </w:p>
          <w:p w14:paraId="31166215" w14:textId="1C44A67D" w:rsidR="00A72C42" w:rsidRPr="00093A94" w:rsidRDefault="003F1B42" w:rsidP="00A72C42">
            <w:pPr>
              <w:spacing w:before="0" w:after="0" w:line="240" w:lineRule="auto"/>
              <w:rPr>
                <w:rFonts w:ascii="Calibri" w:eastAsia="Geneva" w:hAnsi="Calibri" w:cs="Calibri"/>
                <w:b w:val="0"/>
                <w:iCs/>
              </w:rPr>
            </w:pPr>
            <w:r w:rsidRPr="00093A94">
              <w:rPr>
                <w:rFonts w:ascii="Calibri" w:hAnsi="Calibri" w:cs="Calibri"/>
                <w:b w:val="0"/>
                <w:lang w:bidi="ar-SA"/>
              </w:rPr>
              <w:t xml:space="preserve">Současná Národní RIS3 strategie je </w:t>
            </w:r>
            <w:r w:rsidRPr="00093A94">
              <w:rPr>
                <w:rFonts w:ascii="Calibri" w:hAnsi="Calibri" w:cs="Calibri"/>
                <w:lang w:bidi="ar-SA"/>
              </w:rPr>
              <w:t xml:space="preserve">obecným a </w:t>
            </w:r>
            <w:r w:rsidR="00D2500D" w:rsidRPr="00093A94">
              <w:rPr>
                <w:rFonts w:ascii="Calibri" w:hAnsi="Calibri" w:cs="Calibri"/>
                <w:lang w:bidi="ar-SA"/>
              </w:rPr>
              <w:t>rozsáhlým</w:t>
            </w:r>
            <w:r w:rsidR="00D2500D" w:rsidRPr="00093A94">
              <w:rPr>
                <w:rFonts w:ascii="Calibri" w:hAnsi="Calibri" w:cs="Calibri"/>
                <w:b w:val="0"/>
                <w:lang w:bidi="ar-SA"/>
              </w:rPr>
              <w:t xml:space="preserve"> </w:t>
            </w:r>
            <w:r w:rsidRPr="00093A94">
              <w:rPr>
                <w:rFonts w:ascii="Calibri" w:hAnsi="Calibri" w:cs="Calibri"/>
                <w:b w:val="0"/>
                <w:lang w:bidi="ar-SA"/>
              </w:rPr>
              <w:t xml:space="preserve">dokumentem </w:t>
            </w:r>
            <w:r w:rsidR="00D2500D" w:rsidRPr="00093A94">
              <w:rPr>
                <w:rFonts w:ascii="Calibri" w:hAnsi="Calibri" w:cs="Calibri"/>
                <w:b w:val="0"/>
                <w:lang w:bidi="ar-SA"/>
              </w:rPr>
              <w:t xml:space="preserve">s </w:t>
            </w:r>
            <w:r w:rsidR="005B7906" w:rsidRPr="00093A94">
              <w:rPr>
                <w:rFonts w:ascii="Calibri" w:hAnsi="Calibri" w:cs="Calibri"/>
                <w:b w:val="0"/>
                <w:lang w:bidi="ar-SA"/>
              </w:rPr>
              <w:t>nižší mírou</w:t>
            </w:r>
            <w:r w:rsidR="005B7906" w:rsidRPr="00093A94">
              <w:rPr>
                <w:rFonts w:ascii="Calibri" w:hAnsi="Calibri" w:cs="Calibri"/>
                <w:lang w:bidi="ar-SA"/>
              </w:rPr>
              <w:t xml:space="preserve"> </w:t>
            </w:r>
            <w:r w:rsidRPr="00093A94">
              <w:rPr>
                <w:rFonts w:ascii="Calibri" w:hAnsi="Calibri" w:cs="Calibri"/>
                <w:lang w:bidi="ar-SA"/>
              </w:rPr>
              <w:t xml:space="preserve"> zacílení – </w:t>
            </w:r>
            <w:r w:rsidR="00370A7E" w:rsidRPr="00093A94">
              <w:rPr>
                <w:rFonts w:ascii="Calibri" w:hAnsi="Calibri" w:cs="Calibri"/>
                <w:lang w:bidi="ar-SA"/>
              </w:rPr>
              <w:t xml:space="preserve">v nižší míře jsou také definovány </w:t>
            </w:r>
            <w:r w:rsidRPr="00093A94">
              <w:rPr>
                <w:rFonts w:ascii="Calibri" w:eastAsia="Geneva" w:hAnsi="Calibri" w:cs="Calibri"/>
                <w:iCs/>
              </w:rPr>
              <w:t>konkrétní (měřitelné) a reálné cíle</w:t>
            </w:r>
            <w:r w:rsidRPr="00093A94">
              <w:rPr>
                <w:rFonts w:ascii="Calibri" w:eastAsia="Geneva" w:hAnsi="Calibri" w:cs="Calibri"/>
                <w:b w:val="0"/>
                <w:iCs/>
              </w:rPr>
              <w:t xml:space="preserve">, kterých chce ČR v oblasti výzkumu a vývoje </w:t>
            </w:r>
            <w:r w:rsidR="007105E9" w:rsidRPr="00093A94">
              <w:rPr>
                <w:rFonts w:ascii="Calibri" w:eastAsia="Geneva" w:hAnsi="Calibri" w:cs="Calibri"/>
                <w:b w:val="0"/>
                <w:iCs/>
              </w:rPr>
              <w:t xml:space="preserve">a inovací </w:t>
            </w:r>
            <w:r w:rsidRPr="00093A94">
              <w:rPr>
                <w:rFonts w:ascii="Calibri" w:eastAsia="Geneva" w:hAnsi="Calibri" w:cs="Calibri"/>
                <w:b w:val="0"/>
                <w:iCs/>
              </w:rPr>
              <w:t xml:space="preserve">dosáhnout. </w:t>
            </w:r>
          </w:p>
          <w:p w14:paraId="42BD98CB" w14:textId="66676212" w:rsidR="00A94012" w:rsidRPr="00093A94" w:rsidRDefault="003F1B42" w:rsidP="00A72C42">
            <w:pPr>
              <w:spacing w:before="0" w:after="0" w:line="240" w:lineRule="auto"/>
              <w:rPr>
                <w:rFonts w:ascii="Calibri" w:eastAsia="Geneva" w:hAnsi="Calibri" w:cs="Calibri"/>
                <w:b w:val="0"/>
                <w:iCs/>
              </w:rPr>
            </w:pPr>
            <w:r w:rsidRPr="00093A94">
              <w:rPr>
                <w:rFonts w:ascii="Calibri" w:eastAsia="Geneva" w:hAnsi="Calibri" w:cs="Calibri"/>
                <w:b w:val="0"/>
                <w:iCs/>
              </w:rPr>
              <w:lastRenderedPageBreak/>
              <w:t xml:space="preserve">Znalostní domény a aplikační odvětví jsou </w:t>
            </w:r>
            <w:r w:rsidR="00036ED4" w:rsidRPr="00093A94">
              <w:rPr>
                <w:rFonts w:ascii="Calibri" w:eastAsia="Geneva" w:hAnsi="Calibri" w:cs="Calibri"/>
                <w:b w:val="0"/>
                <w:iCs/>
              </w:rPr>
              <w:t xml:space="preserve">formulovány </w:t>
            </w:r>
            <w:r w:rsidR="00BA5D10" w:rsidRPr="00093A94">
              <w:rPr>
                <w:rFonts w:ascii="Calibri" w:eastAsia="Geneva" w:hAnsi="Calibri" w:cs="Calibri"/>
                <w:iCs/>
              </w:rPr>
              <w:t xml:space="preserve">s nižší mírou </w:t>
            </w:r>
            <w:r w:rsidRPr="00093A94">
              <w:rPr>
                <w:rFonts w:ascii="Calibri" w:eastAsia="Geneva" w:hAnsi="Calibri" w:cs="Calibri"/>
                <w:iCs/>
              </w:rPr>
              <w:t xml:space="preserve">zacílení a </w:t>
            </w:r>
            <w:r w:rsidR="00036ED4" w:rsidRPr="00093A94">
              <w:rPr>
                <w:rFonts w:ascii="Calibri" w:eastAsia="Geneva" w:hAnsi="Calibri" w:cs="Calibri"/>
                <w:iCs/>
              </w:rPr>
              <w:t xml:space="preserve">koncentrací </w:t>
            </w:r>
            <w:r w:rsidRPr="00093A94">
              <w:rPr>
                <w:rFonts w:ascii="Calibri" w:eastAsia="Geneva" w:hAnsi="Calibri" w:cs="Calibri"/>
                <w:iCs/>
              </w:rPr>
              <w:t>podpory na nosné priority</w:t>
            </w:r>
            <w:r w:rsidRPr="00093A94">
              <w:rPr>
                <w:rFonts w:ascii="Calibri" w:eastAsia="Geneva" w:hAnsi="Calibri" w:cs="Calibri"/>
                <w:b w:val="0"/>
                <w:iCs/>
              </w:rPr>
              <w:t xml:space="preserve"> aplikovaného výzkumu a vývoje </w:t>
            </w:r>
            <w:r w:rsidR="00967037" w:rsidRPr="00093A94">
              <w:rPr>
                <w:rFonts w:ascii="Calibri" w:eastAsia="Geneva" w:hAnsi="Calibri" w:cs="Calibri"/>
                <w:b w:val="0"/>
                <w:iCs/>
              </w:rPr>
              <w:t>v ČR.</w:t>
            </w:r>
          </w:p>
          <w:p w14:paraId="7E9B836D" w14:textId="1AC69E1B" w:rsidR="00A72C42" w:rsidRPr="00093A94" w:rsidRDefault="00A72C42" w:rsidP="00D73424">
            <w:pPr>
              <w:spacing w:before="0" w:after="60" w:line="240" w:lineRule="auto"/>
              <w:rPr>
                <w:rFonts w:ascii="Calibri" w:hAnsi="Calibri" w:cstheme="majorHAnsi"/>
              </w:rPr>
            </w:pPr>
            <w:r w:rsidRPr="00093A94">
              <w:rPr>
                <w:rFonts w:ascii="Calibri" w:hAnsi="Calibri" w:cs="Calibri"/>
                <w:b w:val="0"/>
                <w:lang w:bidi="ar-SA"/>
              </w:rPr>
              <w:t xml:space="preserve">Množství identifikovaných výzkumných témat jdoucí napříč </w:t>
            </w:r>
            <w:r w:rsidR="00D73424" w:rsidRPr="00093A94">
              <w:rPr>
                <w:rFonts w:ascii="Calibri" w:hAnsi="Calibri" w:cs="Calibri"/>
                <w:b w:val="0"/>
                <w:lang w:bidi="ar-SA"/>
              </w:rPr>
              <w:t xml:space="preserve">aplikačními odvětvími  naznačuje </w:t>
            </w:r>
            <w:r w:rsidRPr="00093A94">
              <w:rPr>
                <w:rFonts w:ascii="Calibri" w:hAnsi="Calibri" w:cs="Calibri"/>
                <w:b w:val="0"/>
                <w:lang w:bidi="ar-SA"/>
              </w:rPr>
              <w:t xml:space="preserve">, že </w:t>
            </w:r>
            <w:r w:rsidRPr="00093A94">
              <w:rPr>
                <w:rFonts w:ascii="Calibri" w:hAnsi="Calibri" w:cs="Calibri"/>
                <w:lang w:bidi="ar-SA"/>
              </w:rPr>
              <w:t xml:space="preserve">záměr „specializace“ </w:t>
            </w:r>
            <w:r w:rsidRPr="00093A94">
              <w:rPr>
                <w:rFonts w:ascii="Calibri" w:hAnsi="Calibri" w:cs="Calibri"/>
                <w:b w:val="0"/>
                <w:lang w:bidi="ar-SA"/>
              </w:rPr>
              <w:t>byl v současné Národní RIS3 strategii naplněn</w:t>
            </w:r>
            <w:r w:rsidR="00D2500D" w:rsidRPr="00093A94">
              <w:rPr>
                <w:rFonts w:ascii="Calibri" w:hAnsi="Calibri" w:cs="Calibri"/>
                <w:b w:val="0"/>
                <w:lang w:bidi="ar-SA"/>
              </w:rPr>
              <w:t xml:space="preserve"> pouze částečně</w:t>
            </w:r>
            <w:r w:rsidRPr="00093A94">
              <w:rPr>
                <w:rFonts w:ascii="Calibri" w:hAnsi="Calibri" w:cs="Calibri"/>
                <w:b w:val="0"/>
                <w:lang w:bidi="ar-SA"/>
              </w:rPr>
              <w:t>.</w:t>
            </w:r>
          </w:p>
        </w:tc>
        <w:tc>
          <w:tcPr>
            <w:tcW w:w="7229" w:type="dxa"/>
          </w:tcPr>
          <w:p w14:paraId="2F0DEB14" w14:textId="77777777" w:rsidR="00DF5949" w:rsidRPr="00093A94" w:rsidRDefault="009B65B9" w:rsidP="009B65B9">
            <w:pPr>
              <w:pStyle w:val="Odstavecseseznamem"/>
              <w:numPr>
                <w:ilvl w:val="0"/>
                <w:numId w:val="35"/>
              </w:numPr>
              <w:spacing w:before="60" w:after="0" w:line="240" w:lineRule="auto"/>
              <w:ind w:left="318" w:hanging="284"/>
              <w:cnfStyle w:val="000000100000" w:firstRow="0" w:lastRow="0" w:firstColumn="0" w:lastColumn="0" w:oddVBand="0" w:evenVBand="0" w:oddHBand="1" w:evenHBand="0" w:firstRowFirstColumn="0" w:firstRowLastColumn="0" w:lastRowFirstColumn="0" w:lastRowLastColumn="0"/>
              <w:rPr>
                <w:rFonts w:ascii="Calibri" w:eastAsia="Geneva" w:hAnsi="Calibri"/>
                <w:bCs/>
                <w:iCs/>
              </w:rPr>
            </w:pPr>
            <w:r w:rsidRPr="00093A94">
              <w:rPr>
                <w:rFonts w:ascii="Calibri" w:eastAsia="Geneva" w:hAnsi="Calibri"/>
                <w:bCs/>
                <w:iCs/>
              </w:rPr>
              <w:lastRenderedPageBreak/>
              <w:t>v</w:t>
            </w:r>
            <w:r w:rsidR="00DF5949" w:rsidRPr="00093A94">
              <w:rPr>
                <w:rFonts w:ascii="Calibri" w:eastAsia="Geneva" w:hAnsi="Calibri"/>
                <w:bCs/>
                <w:iCs/>
              </w:rPr>
              <w:t xml:space="preserve">ytýčit </w:t>
            </w:r>
            <w:r w:rsidR="00DF5949" w:rsidRPr="00093A94">
              <w:rPr>
                <w:rFonts w:ascii="Calibri" w:eastAsia="Geneva" w:hAnsi="Calibri"/>
                <w:b/>
                <w:bCs/>
                <w:iCs/>
              </w:rPr>
              <w:t>konkrétní, jasné a měřitelné cíle</w:t>
            </w:r>
            <w:r w:rsidR="00DF5949" w:rsidRPr="00093A94">
              <w:rPr>
                <w:rFonts w:ascii="Calibri" w:eastAsia="Geneva" w:hAnsi="Calibri"/>
                <w:bCs/>
                <w:iCs/>
              </w:rPr>
              <w:t xml:space="preserve"> </w:t>
            </w:r>
          </w:p>
          <w:p w14:paraId="4400291E" w14:textId="77777777" w:rsidR="00B176CC" w:rsidRPr="00093A94" w:rsidRDefault="009B65B9" w:rsidP="007A78B5">
            <w:pPr>
              <w:pStyle w:val="Odstavecseseznamem"/>
              <w:numPr>
                <w:ilvl w:val="0"/>
                <w:numId w:val="35"/>
              </w:numPr>
              <w:spacing w:before="0" w:after="0" w:line="240" w:lineRule="auto"/>
              <w:ind w:left="317" w:hanging="283"/>
              <w:cnfStyle w:val="000000100000" w:firstRow="0" w:lastRow="0" w:firstColumn="0" w:lastColumn="0" w:oddVBand="0" w:evenVBand="0" w:oddHBand="1" w:evenHBand="0" w:firstRowFirstColumn="0" w:firstRowLastColumn="0" w:lastRowFirstColumn="0" w:lastRowLastColumn="0"/>
              <w:rPr>
                <w:rFonts w:ascii="Calibri" w:eastAsia="Geneva" w:hAnsi="Calibri"/>
                <w:b/>
                <w:bCs/>
                <w:iCs/>
              </w:rPr>
            </w:pPr>
            <w:r w:rsidRPr="00093A94">
              <w:rPr>
                <w:rFonts w:ascii="Calibri" w:eastAsia="Geneva" w:hAnsi="Calibri"/>
                <w:bCs/>
                <w:iCs/>
              </w:rPr>
              <w:t>z</w:t>
            </w:r>
            <w:r w:rsidR="00A72C42" w:rsidRPr="00093A94">
              <w:rPr>
                <w:rFonts w:ascii="Calibri" w:eastAsia="Geneva" w:hAnsi="Calibri"/>
                <w:bCs/>
                <w:iCs/>
              </w:rPr>
              <w:t>avést důslednou</w:t>
            </w:r>
            <w:r w:rsidR="00A72C42" w:rsidRPr="00093A94">
              <w:rPr>
                <w:rFonts w:ascii="Calibri" w:eastAsia="Geneva" w:hAnsi="Calibri"/>
                <w:b/>
                <w:bCs/>
                <w:iCs/>
              </w:rPr>
              <w:t xml:space="preserve"> prioritizaci vertikálních cílů – </w:t>
            </w:r>
            <w:r w:rsidR="00B176CC" w:rsidRPr="00093A94">
              <w:rPr>
                <w:rFonts w:ascii="Calibri" w:eastAsia="Geneva" w:hAnsi="Calibri"/>
                <w:b/>
                <w:bCs/>
                <w:iCs/>
              </w:rPr>
              <w:t>specializ</w:t>
            </w:r>
            <w:r w:rsidR="00A72C42" w:rsidRPr="00093A94">
              <w:rPr>
                <w:rFonts w:ascii="Calibri" w:eastAsia="Geneva" w:hAnsi="Calibri"/>
                <w:b/>
                <w:bCs/>
                <w:iCs/>
              </w:rPr>
              <w:t xml:space="preserve">ovat </w:t>
            </w:r>
            <w:r w:rsidR="00A72C42" w:rsidRPr="00093A94">
              <w:rPr>
                <w:rFonts w:ascii="Calibri" w:eastAsia="Geneva" w:hAnsi="Calibri"/>
                <w:bCs/>
                <w:iCs/>
              </w:rPr>
              <w:t>se</w:t>
            </w:r>
            <w:r w:rsidR="00B176CC" w:rsidRPr="00093A94">
              <w:rPr>
                <w:rFonts w:ascii="Calibri" w:eastAsia="Geneva" w:hAnsi="Calibri"/>
                <w:bCs/>
                <w:iCs/>
              </w:rPr>
              <w:t xml:space="preserve"> na nosné inovativní obory a odvětví národního hospodářství</w:t>
            </w:r>
            <w:r w:rsidR="00A72C42" w:rsidRPr="00093A94">
              <w:rPr>
                <w:rFonts w:ascii="Calibri" w:eastAsia="Geneva" w:hAnsi="Calibri"/>
                <w:bCs/>
                <w:iCs/>
              </w:rPr>
              <w:t xml:space="preserve"> s </w:t>
            </w:r>
            <w:r w:rsidR="00A72C42" w:rsidRPr="00093A94">
              <w:rPr>
                <w:rFonts w:ascii="Calibri" w:eastAsia="Geneva" w:hAnsi="Calibri"/>
                <w:b/>
                <w:bCs/>
                <w:iCs/>
              </w:rPr>
              <w:t>konkurenční výhodou</w:t>
            </w:r>
          </w:p>
          <w:p w14:paraId="55364F58" w14:textId="77777777" w:rsidR="00DF5949" w:rsidRPr="00093A94" w:rsidRDefault="00DF5949" w:rsidP="007A78B5">
            <w:pPr>
              <w:pStyle w:val="Odstavecseseznamem"/>
              <w:numPr>
                <w:ilvl w:val="0"/>
                <w:numId w:val="35"/>
              </w:numPr>
              <w:spacing w:before="0" w:after="0" w:line="240" w:lineRule="auto"/>
              <w:ind w:left="317" w:hanging="283"/>
              <w:cnfStyle w:val="000000100000" w:firstRow="0" w:lastRow="0" w:firstColumn="0" w:lastColumn="0" w:oddVBand="0" w:evenVBand="0" w:oddHBand="1" w:evenHBand="0" w:firstRowFirstColumn="0" w:firstRowLastColumn="0" w:lastRowFirstColumn="0" w:lastRowLastColumn="0"/>
              <w:rPr>
                <w:rFonts w:ascii="Calibri" w:eastAsia="Geneva" w:hAnsi="Calibri"/>
                <w:bCs/>
                <w:iCs/>
              </w:rPr>
            </w:pPr>
            <w:r w:rsidRPr="00093A94">
              <w:rPr>
                <w:rFonts w:ascii="Calibri" w:eastAsia="Geneva" w:hAnsi="Calibri"/>
                <w:bCs/>
                <w:iCs/>
              </w:rPr>
              <w:t xml:space="preserve">jasně </w:t>
            </w:r>
            <w:r w:rsidRPr="00093A94">
              <w:rPr>
                <w:rFonts w:ascii="Calibri" w:eastAsia="Geneva" w:hAnsi="Calibri"/>
                <w:b/>
                <w:bCs/>
                <w:iCs/>
              </w:rPr>
              <w:t>vymezit návaznosti</w:t>
            </w:r>
            <w:r w:rsidRPr="00093A94">
              <w:rPr>
                <w:rFonts w:ascii="Calibri" w:eastAsia="Geneva" w:hAnsi="Calibri"/>
                <w:bCs/>
                <w:iCs/>
              </w:rPr>
              <w:t xml:space="preserve"> mezi znalostními doménami a doménami ekonomické specializace – vyjasnění vertikalizace</w:t>
            </w:r>
          </w:p>
          <w:p w14:paraId="1F8ECEF1" w14:textId="77777777" w:rsidR="00B176CC" w:rsidRPr="00093A94" w:rsidRDefault="00B176CC" w:rsidP="007A78B5">
            <w:pPr>
              <w:spacing w:before="0" w:after="0" w:line="240" w:lineRule="auto"/>
              <w:ind w:left="34"/>
              <w:cnfStyle w:val="000000100000" w:firstRow="0" w:lastRow="0" w:firstColumn="0" w:lastColumn="0" w:oddVBand="0" w:evenVBand="0" w:oddHBand="1" w:evenHBand="0" w:firstRowFirstColumn="0" w:firstRowLastColumn="0" w:lastRowFirstColumn="0" w:lastRowLastColumn="0"/>
              <w:rPr>
                <w:rFonts w:ascii="Calibri" w:eastAsia="Geneva" w:hAnsi="Calibri"/>
                <w:bCs/>
                <w:iCs/>
              </w:rPr>
            </w:pPr>
          </w:p>
          <w:p w14:paraId="44A5C393" w14:textId="77777777" w:rsidR="00A72C42" w:rsidRPr="00093A94" w:rsidRDefault="00A72C42" w:rsidP="007A78B5">
            <w:pPr>
              <w:spacing w:before="0" w:after="0" w:line="240" w:lineRule="auto"/>
              <w:cnfStyle w:val="000000100000" w:firstRow="0" w:lastRow="0" w:firstColumn="0" w:lastColumn="0" w:oddVBand="0" w:evenVBand="0" w:oddHBand="1" w:evenHBand="0" w:firstRowFirstColumn="0" w:firstRowLastColumn="0" w:lastRowFirstColumn="0" w:lastRowLastColumn="0"/>
              <w:rPr>
                <w:rFonts w:ascii="Calibri" w:eastAsia="Geneva" w:hAnsi="Calibri"/>
                <w:b/>
                <w:bCs/>
                <w:iCs/>
              </w:rPr>
            </w:pPr>
          </w:p>
          <w:p w14:paraId="264CB7F2" w14:textId="77777777" w:rsidR="00B176CC" w:rsidRPr="00093A94" w:rsidRDefault="00B176CC" w:rsidP="007A78B5">
            <w:pPr>
              <w:spacing w:before="0" w:after="0" w:line="240" w:lineRule="auto"/>
              <w:cnfStyle w:val="000000100000" w:firstRow="0" w:lastRow="0" w:firstColumn="0" w:lastColumn="0" w:oddVBand="0" w:evenVBand="0" w:oddHBand="1" w:evenHBand="0" w:firstRowFirstColumn="0" w:firstRowLastColumn="0" w:lastRowFirstColumn="0" w:lastRowLastColumn="0"/>
              <w:rPr>
                <w:rFonts w:ascii="Calibri" w:eastAsia="Geneva" w:hAnsi="Calibri"/>
                <w:bCs/>
                <w:iCs/>
              </w:rPr>
            </w:pPr>
          </w:p>
          <w:p w14:paraId="683974B6" w14:textId="77777777" w:rsidR="00B176CC" w:rsidRPr="00093A94" w:rsidRDefault="00B176CC" w:rsidP="007A78B5">
            <w:pPr>
              <w:spacing w:before="0" w:after="0" w:line="240" w:lineRule="auto"/>
              <w:cnfStyle w:val="000000100000" w:firstRow="0" w:lastRow="0" w:firstColumn="0" w:lastColumn="0" w:oddVBand="0" w:evenVBand="0" w:oddHBand="1" w:evenHBand="0" w:firstRowFirstColumn="0" w:firstRowLastColumn="0" w:lastRowFirstColumn="0" w:lastRowLastColumn="0"/>
              <w:rPr>
                <w:rFonts w:ascii="Calibri" w:eastAsia="Geneva" w:hAnsi="Calibri"/>
                <w:b/>
                <w:bCs/>
                <w:iCs/>
              </w:rPr>
            </w:pPr>
          </w:p>
        </w:tc>
      </w:tr>
      <w:tr w:rsidR="002B14BB" w:rsidRPr="00093A94" w14:paraId="43A1CFB7" w14:textId="77777777" w:rsidTr="00DF5949">
        <w:tc>
          <w:tcPr>
            <w:cnfStyle w:val="001000000000" w:firstRow="0" w:lastRow="0" w:firstColumn="1" w:lastColumn="0" w:oddVBand="0" w:evenVBand="0" w:oddHBand="0" w:evenHBand="0" w:firstRowFirstColumn="0" w:firstRowLastColumn="0" w:lastRowFirstColumn="0" w:lastRowLastColumn="0"/>
            <w:tcW w:w="6521" w:type="dxa"/>
          </w:tcPr>
          <w:p w14:paraId="3B860400" w14:textId="77777777" w:rsidR="002B14BB" w:rsidRPr="00093A94" w:rsidRDefault="00DF5949" w:rsidP="009B65B9">
            <w:pPr>
              <w:spacing w:before="60" w:after="120" w:line="240" w:lineRule="auto"/>
              <w:jc w:val="left"/>
              <w:rPr>
                <w:rFonts w:ascii="Calibri" w:hAnsi="Calibri" w:cstheme="majorHAnsi"/>
                <w:u w:val="single"/>
              </w:rPr>
            </w:pPr>
            <w:r w:rsidRPr="00093A94">
              <w:rPr>
                <w:rFonts w:ascii="Calibri" w:hAnsi="Calibri" w:cstheme="majorHAnsi"/>
                <w:u w:val="single"/>
              </w:rPr>
              <w:lastRenderedPageBreak/>
              <w:t>Struktura dokumentu Národní RIS3 strategie a orientace v něm</w:t>
            </w:r>
          </w:p>
          <w:p w14:paraId="1F544DD7" w14:textId="358EABB1" w:rsidR="00DF5949" w:rsidRPr="00093A94" w:rsidRDefault="00DF5949" w:rsidP="006E6A36">
            <w:pPr>
              <w:spacing w:before="0" w:after="0" w:line="240" w:lineRule="auto"/>
              <w:rPr>
                <w:rFonts w:ascii="Calibri" w:hAnsi="Calibri" w:cstheme="majorHAnsi"/>
                <w:b w:val="0"/>
              </w:rPr>
            </w:pPr>
            <w:r w:rsidRPr="00093A94">
              <w:rPr>
                <w:rFonts w:ascii="Calibri" w:hAnsi="Calibri" w:cstheme="majorHAnsi"/>
                <w:b w:val="0"/>
              </w:rPr>
              <w:t xml:space="preserve">Dokument Národní RIS3 strategie je příliš </w:t>
            </w:r>
            <w:r w:rsidRPr="00093A94">
              <w:rPr>
                <w:rFonts w:ascii="Calibri" w:hAnsi="Calibri" w:cstheme="majorHAnsi"/>
              </w:rPr>
              <w:t>obsáhlý</w:t>
            </w:r>
            <w:r w:rsidRPr="00093A94">
              <w:rPr>
                <w:rFonts w:ascii="Calibri" w:eastAsia="Geneva" w:hAnsi="Calibri"/>
                <w:bCs w:val="0"/>
                <w:iCs/>
              </w:rPr>
              <w:t xml:space="preserve">. </w:t>
            </w:r>
            <w:r w:rsidR="00AE5C27" w:rsidRPr="00093A94">
              <w:rPr>
                <w:rFonts w:ascii="Calibri" w:eastAsia="Geneva" w:hAnsi="Calibri"/>
                <w:b w:val="0"/>
                <w:bCs w:val="0"/>
                <w:iCs/>
              </w:rPr>
              <w:t>Text je považován</w:t>
            </w:r>
            <w:r w:rsidR="00AE5C27" w:rsidRPr="00093A94">
              <w:rPr>
                <w:rFonts w:ascii="Calibri" w:eastAsia="Geneva" w:hAnsi="Calibri"/>
                <w:bCs w:val="0"/>
                <w:iCs/>
              </w:rPr>
              <w:t xml:space="preserve"> za komplikovaný </w:t>
            </w:r>
            <w:r w:rsidR="00AE5C27" w:rsidRPr="00093A94">
              <w:rPr>
                <w:rFonts w:ascii="Calibri" w:eastAsia="Geneva" w:hAnsi="Calibri"/>
                <w:b w:val="0"/>
                <w:bCs w:val="0"/>
                <w:iCs/>
              </w:rPr>
              <w:t>a příliš</w:t>
            </w:r>
            <w:r w:rsidR="00AE5C27" w:rsidRPr="00093A94">
              <w:rPr>
                <w:rFonts w:ascii="Calibri" w:eastAsia="Geneva" w:hAnsi="Calibri"/>
                <w:bCs w:val="0"/>
                <w:iCs/>
              </w:rPr>
              <w:t xml:space="preserve"> akademický. </w:t>
            </w:r>
            <w:r w:rsidR="00AE5C27" w:rsidRPr="00093A94">
              <w:rPr>
                <w:rFonts w:ascii="Calibri" w:eastAsia="Geneva" w:hAnsi="Calibri"/>
                <w:b w:val="0"/>
                <w:bCs w:val="0"/>
                <w:iCs/>
              </w:rPr>
              <w:t xml:space="preserve">Používané formulace </w:t>
            </w:r>
            <w:r w:rsidR="006E6A36" w:rsidRPr="00093A94">
              <w:rPr>
                <w:rFonts w:ascii="Calibri" w:eastAsia="Geneva" w:hAnsi="Calibri"/>
                <w:b w:val="0"/>
                <w:bCs w:val="0"/>
                <w:iCs/>
              </w:rPr>
              <w:t>jsou poněkud komplikované</w:t>
            </w:r>
            <w:r w:rsidR="00AE5C27" w:rsidRPr="00093A94">
              <w:rPr>
                <w:rFonts w:ascii="Calibri" w:eastAsia="Geneva" w:hAnsi="Calibri"/>
                <w:b w:val="0"/>
                <w:bCs w:val="0"/>
                <w:iCs/>
              </w:rPr>
              <w:t xml:space="preserve"> pro širší odbornou veřejnost. </w:t>
            </w:r>
            <w:r w:rsidR="00AE5C27" w:rsidRPr="00093A94">
              <w:rPr>
                <w:rFonts w:ascii="Calibri" w:eastAsia="Geneva" w:hAnsi="Calibri"/>
                <w:bCs w:val="0"/>
                <w:iCs/>
              </w:rPr>
              <w:t>Terminologie</w:t>
            </w:r>
            <w:r w:rsidR="00AE5C27" w:rsidRPr="00093A94">
              <w:rPr>
                <w:rFonts w:ascii="Calibri" w:eastAsia="Geneva" w:hAnsi="Calibri"/>
                <w:b w:val="0"/>
                <w:bCs w:val="0"/>
                <w:iCs/>
              </w:rPr>
              <w:t xml:space="preserve"> je mnohdy </w:t>
            </w:r>
            <w:r w:rsidR="00AE5C27" w:rsidRPr="00093A94">
              <w:rPr>
                <w:rFonts w:ascii="Calibri" w:eastAsia="Geneva" w:hAnsi="Calibri"/>
                <w:bCs w:val="0"/>
                <w:iCs/>
              </w:rPr>
              <w:t>matoucí</w:t>
            </w:r>
            <w:r w:rsidR="00AE5C27" w:rsidRPr="00093A94">
              <w:rPr>
                <w:rFonts w:ascii="Calibri" w:eastAsia="Geneva" w:hAnsi="Calibri"/>
                <w:b w:val="0"/>
                <w:bCs w:val="0"/>
                <w:iCs/>
              </w:rPr>
              <w:t xml:space="preserve">, kdy pro obsahově stejné pojmy </w:t>
            </w:r>
            <w:r w:rsidR="009054B6" w:rsidRPr="00093A94">
              <w:rPr>
                <w:rFonts w:ascii="Calibri" w:eastAsia="Geneva" w:hAnsi="Calibri"/>
                <w:b w:val="0"/>
                <w:bCs w:val="0"/>
                <w:iCs/>
              </w:rPr>
              <w:t xml:space="preserve">se </w:t>
            </w:r>
            <w:r w:rsidR="00AE5C27" w:rsidRPr="00093A94">
              <w:rPr>
                <w:rFonts w:ascii="Calibri" w:eastAsia="Geneva" w:hAnsi="Calibri"/>
                <w:b w:val="0"/>
                <w:bCs w:val="0"/>
                <w:iCs/>
              </w:rPr>
              <w:t>použív</w:t>
            </w:r>
            <w:r w:rsidR="009054B6" w:rsidRPr="00093A94">
              <w:rPr>
                <w:rFonts w:ascii="Calibri" w:eastAsia="Geneva" w:hAnsi="Calibri"/>
                <w:b w:val="0"/>
                <w:bCs w:val="0"/>
                <w:iCs/>
              </w:rPr>
              <w:t>ají</w:t>
            </w:r>
            <w:r w:rsidR="00AE5C27" w:rsidRPr="00093A94">
              <w:rPr>
                <w:rFonts w:ascii="Calibri" w:eastAsia="Geneva" w:hAnsi="Calibri"/>
                <w:b w:val="0"/>
                <w:bCs w:val="0"/>
                <w:iCs/>
              </w:rPr>
              <w:t xml:space="preserve"> různé </w:t>
            </w:r>
            <w:r w:rsidR="006F1E70" w:rsidRPr="00093A94">
              <w:rPr>
                <w:rFonts w:ascii="Calibri" w:eastAsia="Geneva" w:hAnsi="Calibri"/>
                <w:b w:val="0"/>
                <w:bCs w:val="0"/>
                <w:iCs/>
              </w:rPr>
              <w:t xml:space="preserve">výrazové </w:t>
            </w:r>
            <w:r w:rsidR="00AE5C27" w:rsidRPr="00093A94">
              <w:rPr>
                <w:rFonts w:ascii="Calibri" w:eastAsia="Geneva" w:hAnsi="Calibri"/>
                <w:b w:val="0"/>
                <w:bCs w:val="0"/>
                <w:iCs/>
              </w:rPr>
              <w:t xml:space="preserve">modifikace.  </w:t>
            </w:r>
          </w:p>
        </w:tc>
        <w:tc>
          <w:tcPr>
            <w:tcW w:w="7229" w:type="dxa"/>
          </w:tcPr>
          <w:p w14:paraId="003B02C8" w14:textId="77777777" w:rsidR="00191C72" w:rsidRPr="00093A94" w:rsidRDefault="00B176CC" w:rsidP="009B65B9">
            <w:pPr>
              <w:pStyle w:val="Odstavecseseznamem"/>
              <w:numPr>
                <w:ilvl w:val="0"/>
                <w:numId w:val="36"/>
              </w:numPr>
              <w:spacing w:before="60" w:after="0" w:line="240" w:lineRule="auto"/>
              <w:ind w:left="318" w:hanging="284"/>
              <w:cnfStyle w:val="000000000000" w:firstRow="0" w:lastRow="0" w:firstColumn="0" w:lastColumn="0" w:oddVBand="0" w:evenVBand="0" w:oddHBand="0" w:evenHBand="0" w:firstRowFirstColumn="0" w:firstRowLastColumn="0" w:lastRowFirstColumn="0" w:lastRowLastColumn="0"/>
              <w:rPr>
                <w:rFonts w:ascii="Calibri" w:eastAsia="Geneva" w:hAnsi="Calibri"/>
                <w:bCs/>
                <w:iCs/>
              </w:rPr>
            </w:pPr>
            <w:r w:rsidRPr="00093A94">
              <w:rPr>
                <w:rFonts w:ascii="Calibri" w:eastAsia="Geneva" w:hAnsi="Calibri"/>
                <w:b/>
                <w:bCs/>
                <w:iCs/>
              </w:rPr>
              <w:t>zjednoduš</w:t>
            </w:r>
            <w:r w:rsidR="009B65B9" w:rsidRPr="00093A94">
              <w:rPr>
                <w:rFonts w:ascii="Calibri" w:eastAsia="Geneva" w:hAnsi="Calibri"/>
                <w:b/>
                <w:bCs/>
                <w:iCs/>
              </w:rPr>
              <w:t>it</w:t>
            </w:r>
            <w:r w:rsidRPr="00093A94">
              <w:rPr>
                <w:rFonts w:ascii="Calibri" w:eastAsia="Geneva" w:hAnsi="Calibri"/>
                <w:bCs/>
                <w:iCs/>
              </w:rPr>
              <w:t xml:space="preserve"> dokument Národní RIS3 strategie</w:t>
            </w:r>
            <w:r w:rsidR="00AE5C27" w:rsidRPr="00093A94">
              <w:rPr>
                <w:rFonts w:ascii="Calibri" w:eastAsia="Geneva" w:hAnsi="Calibri"/>
                <w:bCs/>
                <w:iCs/>
              </w:rPr>
              <w:t xml:space="preserve"> – jeho </w:t>
            </w:r>
            <w:r w:rsidR="00AE5C27" w:rsidRPr="00093A94">
              <w:rPr>
                <w:rFonts w:ascii="Calibri" w:eastAsia="Geneva" w:hAnsi="Calibri"/>
                <w:b/>
                <w:bCs/>
                <w:iCs/>
              </w:rPr>
              <w:t xml:space="preserve">zestručnění a </w:t>
            </w:r>
            <w:r w:rsidR="00B531A3" w:rsidRPr="00093A94">
              <w:rPr>
                <w:rFonts w:ascii="Calibri" w:eastAsia="Geneva" w:hAnsi="Calibri"/>
                <w:b/>
                <w:bCs/>
                <w:iCs/>
              </w:rPr>
              <w:t xml:space="preserve">zpřehlednění </w:t>
            </w:r>
            <w:r w:rsidR="00B531A3" w:rsidRPr="00093A94">
              <w:rPr>
                <w:rFonts w:ascii="Calibri" w:eastAsia="Geneva" w:hAnsi="Calibri"/>
                <w:bCs/>
                <w:iCs/>
              </w:rPr>
              <w:t>(</w:t>
            </w:r>
            <w:r w:rsidR="00AE5C27" w:rsidRPr="00093A94">
              <w:rPr>
                <w:rFonts w:ascii="Calibri" w:eastAsia="Geneva" w:hAnsi="Calibri"/>
                <w:bCs/>
                <w:iCs/>
              </w:rPr>
              <w:t xml:space="preserve">včetně navazujících </w:t>
            </w:r>
            <w:r w:rsidR="00B531A3" w:rsidRPr="00093A94">
              <w:rPr>
                <w:rFonts w:ascii="Calibri" w:eastAsia="Geneva" w:hAnsi="Calibri"/>
                <w:bCs/>
                <w:iCs/>
              </w:rPr>
              <w:t>podkladov</w:t>
            </w:r>
            <w:r w:rsidR="00AE5C27" w:rsidRPr="00093A94">
              <w:rPr>
                <w:rFonts w:ascii="Calibri" w:eastAsia="Geneva" w:hAnsi="Calibri"/>
                <w:bCs/>
                <w:iCs/>
              </w:rPr>
              <w:t>ých</w:t>
            </w:r>
            <w:r w:rsidR="00B531A3" w:rsidRPr="00093A94">
              <w:rPr>
                <w:rFonts w:ascii="Calibri" w:eastAsia="Geneva" w:hAnsi="Calibri"/>
                <w:bCs/>
                <w:iCs/>
              </w:rPr>
              <w:t xml:space="preserve"> materiál</w:t>
            </w:r>
            <w:r w:rsidR="00AE5C27" w:rsidRPr="00093A94">
              <w:rPr>
                <w:rFonts w:ascii="Calibri" w:eastAsia="Geneva" w:hAnsi="Calibri"/>
                <w:bCs/>
                <w:iCs/>
              </w:rPr>
              <w:t>ů</w:t>
            </w:r>
            <w:r w:rsidR="00B531A3" w:rsidRPr="00093A94">
              <w:rPr>
                <w:rFonts w:ascii="Calibri" w:eastAsia="Geneva" w:hAnsi="Calibri"/>
                <w:bCs/>
                <w:iCs/>
              </w:rPr>
              <w:t xml:space="preserve">) </w:t>
            </w:r>
          </w:p>
          <w:p w14:paraId="72E665AE" w14:textId="77777777" w:rsidR="00191C72" w:rsidRPr="00093A94" w:rsidRDefault="00191C72" w:rsidP="007A78B5">
            <w:pPr>
              <w:pStyle w:val="Odstavecseseznamem"/>
              <w:numPr>
                <w:ilvl w:val="0"/>
                <w:numId w:val="36"/>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ascii="Calibri" w:eastAsia="Geneva" w:hAnsi="Calibri"/>
                <w:bCs/>
                <w:iCs/>
              </w:rPr>
            </w:pPr>
            <w:r w:rsidRPr="00093A94">
              <w:rPr>
                <w:rFonts w:ascii="Calibri" w:eastAsia="Geneva" w:hAnsi="Calibri"/>
                <w:bCs/>
                <w:iCs/>
              </w:rPr>
              <w:t>vytvoř</w:t>
            </w:r>
            <w:r w:rsidR="009B65B9" w:rsidRPr="00093A94">
              <w:rPr>
                <w:rFonts w:ascii="Calibri" w:eastAsia="Geneva" w:hAnsi="Calibri"/>
                <w:bCs/>
                <w:iCs/>
              </w:rPr>
              <w:t>it</w:t>
            </w:r>
            <w:r w:rsidRPr="00093A94">
              <w:rPr>
                <w:rFonts w:ascii="Calibri" w:eastAsia="Geneva" w:hAnsi="Calibri"/>
                <w:bCs/>
                <w:iCs/>
              </w:rPr>
              <w:t xml:space="preserve"> uživatelsky vstřícn</w:t>
            </w:r>
            <w:r w:rsidR="007105E9" w:rsidRPr="00093A94">
              <w:rPr>
                <w:rFonts w:ascii="Calibri" w:eastAsia="Geneva" w:hAnsi="Calibri"/>
                <w:bCs/>
                <w:iCs/>
              </w:rPr>
              <w:t>ý</w:t>
            </w:r>
            <w:r w:rsidRPr="00093A94">
              <w:rPr>
                <w:rFonts w:ascii="Calibri" w:eastAsia="Geneva" w:hAnsi="Calibri"/>
                <w:bCs/>
                <w:iCs/>
              </w:rPr>
              <w:t xml:space="preserve"> dokument </w:t>
            </w:r>
            <w:r w:rsidR="00C47FF4" w:rsidRPr="00093A94">
              <w:rPr>
                <w:rFonts w:ascii="Calibri" w:eastAsia="Geneva" w:hAnsi="Calibri"/>
                <w:bCs/>
                <w:iCs/>
              </w:rPr>
              <w:t>určen</w:t>
            </w:r>
            <w:r w:rsidR="007105E9" w:rsidRPr="00093A94">
              <w:rPr>
                <w:rFonts w:ascii="Calibri" w:eastAsia="Geneva" w:hAnsi="Calibri"/>
                <w:bCs/>
                <w:iCs/>
              </w:rPr>
              <w:t>ý</w:t>
            </w:r>
            <w:r w:rsidR="00C47FF4" w:rsidRPr="00093A94">
              <w:rPr>
                <w:rFonts w:ascii="Calibri" w:eastAsia="Geneva" w:hAnsi="Calibri"/>
                <w:bCs/>
                <w:iCs/>
              </w:rPr>
              <w:t xml:space="preserve"> </w:t>
            </w:r>
            <w:r w:rsidRPr="00093A94">
              <w:rPr>
                <w:rFonts w:ascii="Calibri" w:eastAsia="Geneva" w:hAnsi="Calibri"/>
                <w:bCs/>
                <w:iCs/>
              </w:rPr>
              <w:t>pro příjemce, hodnotitelé a širší veřejnost</w:t>
            </w:r>
            <w:r w:rsidR="00C47FF4" w:rsidRPr="00093A94">
              <w:rPr>
                <w:rFonts w:ascii="Calibri" w:eastAsia="Geneva" w:hAnsi="Calibri"/>
                <w:bCs/>
                <w:iCs/>
              </w:rPr>
              <w:t xml:space="preserve"> např. ve formě „manažerského shrnutí“, stručné </w:t>
            </w:r>
            <w:r w:rsidR="00C47FF4" w:rsidRPr="00093A94">
              <w:rPr>
                <w:rFonts w:ascii="Calibri" w:eastAsia="Geneva" w:hAnsi="Calibri"/>
                <w:b/>
                <w:bCs/>
                <w:iCs/>
              </w:rPr>
              <w:t>brožury</w:t>
            </w:r>
            <w:r w:rsidR="00C47FF4" w:rsidRPr="00093A94">
              <w:rPr>
                <w:rFonts w:ascii="Calibri" w:eastAsia="Geneva" w:hAnsi="Calibri"/>
                <w:bCs/>
                <w:iCs/>
              </w:rPr>
              <w:t xml:space="preserve">, </w:t>
            </w:r>
            <w:r w:rsidR="00C47FF4" w:rsidRPr="00093A94">
              <w:rPr>
                <w:rFonts w:ascii="Calibri" w:eastAsia="Geneva" w:hAnsi="Calibri"/>
                <w:b/>
                <w:bCs/>
                <w:iCs/>
              </w:rPr>
              <w:t>příručky</w:t>
            </w:r>
            <w:r w:rsidR="00C47FF4" w:rsidRPr="00093A94">
              <w:rPr>
                <w:rFonts w:ascii="Calibri" w:eastAsia="Geneva" w:hAnsi="Calibri"/>
                <w:bCs/>
                <w:iCs/>
              </w:rPr>
              <w:t xml:space="preserve"> apod. (stručného souhrnného materiálu pro první základní orientaci)</w:t>
            </w:r>
          </w:p>
          <w:p w14:paraId="0BD7B8CE" w14:textId="77777777" w:rsidR="00BC327A" w:rsidRPr="00093A94" w:rsidRDefault="00BC327A" w:rsidP="007A78B5">
            <w:pPr>
              <w:pStyle w:val="Odstavecseseznamem"/>
              <w:numPr>
                <w:ilvl w:val="0"/>
                <w:numId w:val="36"/>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ascii="Calibri" w:eastAsia="Geneva" w:hAnsi="Calibri"/>
                <w:bCs/>
                <w:iCs/>
              </w:rPr>
            </w:pPr>
            <w:r w:rsidRPr="00093A94">
              <w:rPr>
                <w:rFonts w:ascii="Calibri" w:eastAsia="Geneva" w:hAnsi="Calibri"/>
                <w:bCs/>
                <w:iCs/>
              </w:rPr>
              <w:t xml:space="preserve">používat </w:t>
            </w:r>
            <w:r w:rsidRPr="00093A94">
              <w:rPr>
                <w:rFonts w:ascii="Calibri" w:eastAsia="Geneva" w:hAnsi="Calibri"/>
                <w:b/>
                <w:bCs/>
                <w:iCs/>
              </w:rPr>
              <w:t>jasné a jednoznačné</w:t>
            </w:r>
            <w:r w:rsidRPr="00093A94">
              <w:rPr>
                <w:rFonts w:ascii="Calibri" w:eastAsia="Geneva" w:hAnsi="Calibri"/>
                <w:bCs/>
                <w:iCs/>
              </w:rPr>
              <w:t xml:space="preserve"> </w:t>
            </w:r>
            <w:r w:rsidRPr="00093A94">
              <w:rPr>
                <w:rFonts w:ascii="Calibri" w:eastAsia="Geneva" w:hAnsi="Calibri"/>
                <w:b/>
                <w:bCs/>
                <w:iCs/>
              </w:rPr>
              <w:t>formulace srozumitelné i pro širší odbornou veřejnost</w:t>
            </w:r>
          </w:p>
          <w:p w14:paraId="6DD96A9C" w14:textId="77777777" w:rsidR="00BC327A" w:rsidRPr="00093A94" w:rsidRDefault="00BC327A" w:rsidP="007A78B5">
            <w:pPr>
              <w:pStyle w:val="Odstavecseseznamem"/>
              <w:numPr>
                <w:ilvl w:val="0"/>
                <w:numId w:val="36"/>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ascii="Calibri" w:eastAsia="Geneva" w:hAnsi="Calibri"/>
                <w:bCs/>
                <w:iCs/>
              </w:rPr>
            </w:pPr>
            <w:r w:rsidRPr="00093A94">
              <w:rPr>
                <w:rFonts w:ascii="Calibri" w:eastAsia="Geneva" w:hAnsi="Calibri"/>
                <w:b/>
                <w:bCs/>
                <w:iCs/>
              </w:rPr>
              <w:t xml:space="preserve">upravit terminologii </w:t>
            </w:r>
            <w:r w:rsidRPr="00093A94">
              <w:rPr>
                <w:rFonts w:ascii="Calibri" w:eastAsia="Geneva" w:hAnsi="Calibri"/>
                <w:bCs/>
                <w:iCs/>
              </w:rPr>
              <w:t>a eliminovat nejednoznačný výklad -  uvést jasné definice a sjednotit výzkumné a odborné pojmy</w:t>
            </w:r>
          </w:p>
          <w:p w14:paraId="48DBD038" w14:textId="77777777" w:rsidR="00BC327A" w:rsidRPr="00093A94" w:rsidRDefault="00BC327A" w:rsidP="007A78B5">
            <w:pPr>
              <w:pStyle w:val="Odstavecseseznamem"/>
              <w:numPr>
                <w:ilvl w:val="0"/>
                <w:numId w:val="36"/>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ascii="Calibri" w:eastAsia="Geneva" w:hAnsi="Calibri"/>
                <w:bCs/>
                <w:iCs/>
              </w:rPr>
            </w:pPr>
            <w:r w:rsidRPr="00093A94">
              <w:rPr>
                <w:rFonts w:ascii="Calibri" w:eastAsia="Geneva" w:hAnsi="Calibri"/>
                <w:bCs/>
                <w:iCs/>
              </w:rPr>
              <w:t xml:space="preserve">zvolit v dokumentech </w:t>
            </w:r>
            <w:r w:rsidRPr="00093A94">
              <w:rPr>
                <w:rFonts w:ascii="Calibri" w:eastAsia="Geneva" w:hAnsi="Calibri"/>
                <w:b/>
                <w:bCs/>
                <w:iCs/>
              </w:rPr>
              <w:t xml:space="preserve">názornější formu prezentace - </w:t>
            </w:r>
            <w:r w:rsidRPr="00093A94">
              <w:rPr>
                <w:rFonts w:ascii="Calibri" w:eastAsia="Geneva" w:hAnsi="Calibri"/>
                <w:bCs/>
                <w:iCs/>
              </w:rPr>
              <w:t>používáním vizualizací, procesních map, infografiky a dalších prvků</w:t>
            </w:r>
          </w:p>
          <w:p w14:paraId="33CFBD66" w14:textId="77777777" w:rsidR="00B176CC" w:rsidRPr="00093A94" w:rsidRDefault="00B531A3" w:rsidP="009B65B9">
            <w:pPr>
              <w:pStyle w:val="Odstavecseseznamem"/>
              <w:numPr>
                <w:ilvl w:val="0"/>
                <w:numId w:val="36"/>
              </w:numPr>
              <w:spacing w:before="0" w:after="60" w:line="240" w:lineRule="auto"/>
              <w:ind w:left="318" w:hanging="284"/>
              <w:cnfStyle w:val="000000000000" w:firstRow="0" w:lastRow="0" w:firstColumn="0" w:lastColumn="0" w:oddVBand="0" w:evenVBand="0" w:oddHBand="0" w:evenHBand="0" w:firstRowFirstColumn="0" w:firstRowLastColumn="0" w:lastRowFirstColumn="0" w:lastRowLastColumn="0"/>
              <w:rPr>
                <w:rFonts w:ascii="Calibri" w:hAnsi="Calibri" w:cstheme="majorHAnsi"/>
              </w:rPr>
            </w:pPr>
            <w:r w:rsidRPr="00093A94">
              <w:rPr>
                <w:rFonts w:ascii="Calibri" w:eastAsia="Geneva" w:hAnsi="Calibri"/>
                <w:bCs/>
                <w:iCs/>
              </w:rPr>
              <w:t>uvádě</w:t>
            </w:r>
            <w:r w:rsidR="00BC327A" w:rsidRPr="00093A94">
              <w:rPr>
                <w:rFonts w:ascii="Calibri" w:eastAsia="Geneva" w:hAnsi="Calibri"/>
                <w:bCs/>
                <w:iCs/>
              </w:rPr>
              <w:t>t</w:t>
            </w:r>
            <w:r w:rsidRPr="00093A94">
              <w:rPr>
                <w:rFonts w:ascii="Calibri" w:eastAsia="Geneva" w:hAnsi="Calibri"/>
                <w:bCs/>
                <w:iCs/>
              </w:rPr>
              <w:t xml:space="preserve"> </w:t>
            </w:r>
            <w:r w:rsidRPr="00093A94">
              <w:rPr>
                <w:rFonts w:ascii="Calibri" w:eastAsia="Geneva" w:hAnsi="Calibri"/>
                <w:b/>
                <w:bCs/>
                <w:iCs/>
              </w:rPr>
              <w:t xml:space="preserve">konkrétní </w:t>
            </w:r>
            <w:r w:rsidR="00BC327A" w:rsidRPr="00093A94">
              <w:rPr>
                <w:rFonts w:ascii="Calibri" w:eastAsia="Geneva" w:hAnsi="Calibri"/>
                <w:b/>
                <w:bCs/>
                <w:iCs/>
              </w:rPr>
              <w:t xml:space="preserve">a praktické </w:t>
            </w:r>
            <w:r w:rsidRPr="00093A94">
              <w:rPr>
                <w:rFonts w:ascii="Calibri" w:eastAsia="Geneva" w:hAnsi="Calibri"/>
                <w:b/>
                <w:bCs/>
                <w:iCs/>
              </w:rPr>
              <w:t>příklad</w:t>
            </w:r>
            <w:r w:rsidR="00BC327A" w:rsidRPr="00093A94">
              <w:rPr>
                <w:rFonts w:ascii="Calibri" w:eastAsia="Geneva" w:hAnsi="Calibri"/>
                <w:b/>
                <w:bCs/>
                <w:iCs/>
              </w:rPr>
              <w:t>y</w:t>
            </w:r>
            <w:r w:rsidRPr="00093A94">
              <w:rPr>
                <w:rFonts w:ascii="Calibri" w:eastAsia="Geneva" w:hAnsi="Calibri"/>
                <w:bCs/>
                <w:iCs/>
              </w:rPr>
              <w:t xml:space="preserve"> (zejména v</w:t>
            </w:r>
            <w:r w:rsidR="00BC327A" w:rsidRPr="00093A94">
              <w:rPr>
                <w:rFonts w:ascii="Calibri" w:eastAsia="Geneva" w:hAnsi="Calibri"/>
                <w:bCs/>
                <w:iCs/>
              </w:rPr>
              <w:t> </w:t>
            </w:r>
            <w:r w:rsidRPr="00093A94">
              <w:rPr>
                <w:rFonts w:ascii="Calibri" w:eastAsia="Geneva" w:hAnsi="Calibri"/>
                <w:bCs/>
                <w:iCs/>
              </w:rPr>
              <w:t>materiál</w:t>
            </w:r>
            <w:r w:rsidR="00BC327A" w:rsidRPr="00093A94">
              <w:rPr>
                <w:rFonts w:ascii="Calibri" w:eastAsia="Geneva" w:hAnsi="Calibri"/>
                <w:bCs/>
                <w:iCs/>
              </w:rPr>
              <w:t>ech pro příjemce, ale také i pro hodnotitele</w:t>
            </w:r>
            <w:r w:rsidRPr="00093A94">
              <w:rPr>
                <w:rFonts w:ascii="Calibri" w:eastAsia="Geneva" w:hAnsi="Calibri"/>
                <w:bCs/>
                <w:iCs/>
              </w:rPr>
              <w:t>)</w:t>
            </w:r>
            <w:r w:rsidR="00BC327A" w:rsidRPr="00093A94">
              <w:rPr>
                <w:rFonts w:ascii="Calibri" w:eastAsia="Geneva" w:hAnsi="Calibri"/>
                <w:bCs/>
                <w:iCs/>
              </w:rPr>
              <w:t>, které napomůžou pochopit smysl a význam Národní RIS3 strategie</w:t>
            </w:r>
          </w:p>
        </w:tc>
      </w:tr>
      <w:tr w:rsidR="00A94012" w:rsidRPr="00093A94" w14:paraId="3DA1909B" w14:textId="77777777" w:rsidTr="00DF59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1" w:type="dxa"/>
          </w:tcPr>
          <w:p w14:paraId="31AA7B45" w14:textId="77777777" w:rsidR="00A94012" w:rsidRPr="00093A94" w:rsidRDefault="00A94012" w:rsidP="009B65B9">
            <w:pPr>
              <w:spacing w:before="60" w:after="120" w:line="240" w:lineRule="auto"/>
              <w:jc w:val="left"/>
              <w:rPr>
                <w:rFonts w:ascii="Calibri" w:eastAsia="Geneva" w:hAnsi="Calibri"/>
                <w:bCs w:val="0"/>
                <w:iCs/>
                <w:u w:val="single"/>
              </w:rPr>
            </w:pPr>
            <w:r w:rsidRPr="00093A94">
              <w:rPr>
                <w:rFonts w:ascii="Calibri" w:eastAsia="Geneva" w:hAnsi="Calibri"/>
                <w:bCs w:val="0"/>
                <w:iCs/>
                <w:u w:val="single"/>
              </w:rPr>
              <w:t>EDP</w:t>
            </w:r>
            <w:r w:rsidR="007A78B5" w:rsidRPr="00093A94">
              <w:rPr>
                <w:rFonts w:ascii="Calibri" w:eastAsia="Geneva" w:hAnsi="Calibri"/>
                <w:bCs w:val="0"/>
                <w:iCs/>
                <w:u w:val="single"/>
              </w:rPr>
              <w:t xml:space="preserve"> proces</w:t>
            </w:r>
          </w:p>
          <w:p w14:paraId="7447CD18" w14:textId="46DABA23" w:rsidR="007A78B5" w:rsidRPr="00093A94" w:rsidRDefault="007A78B5" w:rsidP="007A78B5">
            <w:pPr>
              <w:spacing w:before="0" w:after="0" w:line="240" w:lineRule="auto"/>
              <w:rPr>
                <w:rFonts w:ascii="Calibri" w:hAnsi="Calibri" w:cstheme="majorHAnsi"/>
                <w:b w:val="0"/>
              </w:rPr>
            </w:pPr>
            <w:r w:rsidRPr="00093A94">
              <w:rPr>
                <w:rFonts w:ascii="Calibri" w:hAnsi="Calibri" w:cstheme="majorHAnsi"/>
                <w:b w:val="0"/>
              </w:rPr>
              <w:t xml:space="preserve">Realizace EDP procesu prostřednictvím NIP se vyznačuje </w:t>
            </w:r>
            <w:r w:rsidR="00467C8C" w:rsidRPr="00093A94">
              <w:rPr>
                <w:rFonts w:ascii="Calibri" w:hAnsi="Calibri" w:cstheme="majorHAnsi"/>
                <w:b w:val="0"/>
              </w:rPr>
              <w:t xml:space="preserve">nižší mírou </w:t>
            </w:r>
            <w:r w:rsidRPr="00093A94">
              <w:rPr>
                <w:rFonts w:ascii="Calibri" w:hAnsi="Calibri" w:cstheme="majorHAnsi"/>
                <w:b w:val="0"/>
              </w:rPr>
              <w:t>využitelnost</w:t>
            </w:r>
            <w:r w:rsidR="00467C8C" w:rsidRPr="00093A94">
              <w:rPr>
                <w:rFonts w:ascii="Calibri" w:hAnsi="Calibri" w:cstheme="majorHAnsi"/>
                <w:b w:val="0"/>
              </w:rPr>
              <w:t>i</w:t>
            </w:r>
            <w:r w:rsidRPr="00093A94">
              <w:rPr>
                <w:rFonts w:ascii="Calibri" w:hAnsi="Calibri" w:cstheme="majorHAnsi"/>
                <w:b w:val="0"/>
              </w:rPr>
              <w:t xml:space="preserve"> výstupů vzešlých z tohoto procesu, neboť témata VaVaI identifikována prostřednictvím EDP jsou </w:t>
            </w:r>
            <w:r w:rsidR="00D2500D" w:rsidRPr="00093A94">
              <w:rPr>
                <w:rFonts w:ascii="Calibri" w:hAnsi="Calibri" w:cstheme="majorHAnsi"/>
                <w:b w:val="0"/>
              </w:rPr>
              <w:t>ze strany stakeholderů  vnímána</w:t>
            </w:r>
            <w:r w:rsidRPr="00093A94">
              <w:rPr>
                <w:rFonts w:ascii="Calibri" w:hAnsi="Calibri" w:cstheme="majorHAnsi"/>
                <w:b w:val="0"/>
              </w:rPr>
              <w:t xml:space="preserve"> </w:t>
            </w:r>
            <w:r w:rsidRPr="00093A94">
              <w:rPr>
                <w:rFonts w:ascii="Calibri" w:hAnsi="Calibri" w:cstheme="majorHAnsi"/>
              </w:rPr>
              <w:t>obecně a široce</w:t>
            </w:r>
            <w:r w:rsidRPr="00093A94">
              <w:rPr>
                <w:rFonts w:ascii="Calibri" w:hAnsi="Calibri" w:cstheme="majorHAnsi"/>
                <w:b w:val="0"/>
              </w:rPr>
              <w:t xml:space="preserve">. </w:t>
            </w:r>
          </w:p>
          <w:p w14:paraId="0194196B" w14:textId="31A8B097" w:rsidR="008D1070" w:rsidRPr="00093A94" w:rsidRDefault="005D2E21" w:rsidP="00902841">
            <w:pPr>
              <w:spacing w:before="0" w:after="0" w:line="240" w:lineRule="auto"/>
              <w:rPr>
                <w:rFonts w:ascii="Calibri" w:hAnsi="Calibri" w:cstheme="majorHAnsi"/>
                <w:b w:val="0"/>
              </w:rPr>
            </w:pPr>
            <w:r w:rsidRPr="00093A94">
              <w:rPr>
                <w:rFonts w:ascii="Calibri" w:hAnsi="Calibri" w:cstheme="majorHAnsi"/>
                <w:b w:val="0"/>
              </w:rPr>
              <w:t xml:space="preserve">Ze strany podnikatelského sektoru lze vnímat jistou </w:t>
            </w:r>
            <w:r w:rsidRPr="00093A94">
              <w:rPr>
                <w:rFonts w:ascii="Calibri" w:hAnsi="Calibri" w:cstheme="majorHAnsi"/>
              </w:rPr>
              <w:t>míru nedůvěr</w:t>
            </w:r>
            <w:r w:rsidR="00262CF9" w:rsidRPr="00093A94">
              <w:rPr>
                <w:rFonts w:ascii="Calibri" w:hAnsi="Calibri" w:cstheme="majorHAnsi"/>
              </w:rPr>
              <w:t>y</w:t>
            </w:r>
            <w:r w:rsidRPr="00093A94">
              <w:rPr>
                <w:rFonts w:ascii="Calibri" w:hAnsi="Calibri" w:cstheme="majorHAnsi"/>
              </w:rPr>
              <w:t xml:space="preserve"> ve smysluplnost NIP</w:t>
            </w:r>
            <w:r w:rsidRPr="00093A94">
              <w:rPr>
                <w:rFonts w:ascii="Calibri" w:hAnsi="Calibri" w:cstheme="majorHAnsi"/>
                <w:b w:val="0"/>
              </w:rPr>
              <w:t xml:space="preserve">. </w:t>
            </w:r>
            <w:r w:rsidR="007A78B5" w:rsidRPr="00093A94">
              <w:rPr>
                <w:rFonts w:ascii="Calibri" w:hAnsi="Calibri" w:cstheme="majorHAnsi"/>
                <w:b w:val="0"/>
              </w:rPr>
              <w:t xml:space="preserve">Není dostatečně využíván </w:t>
            </w:r>
            <w:r w:rsidR="007A78B5" w:rsidRPr="00093A94">
              <w:rPr>
                <w:rFonts w:ascii="Calibri" w:hAnsi="Calibri" w:cstheme="majorHAnsi"/>
              </w:rPr>
              <w:t>potenciál</w:t>
            </w:r>
            <w:r w:rsidR="007A78B5" w:rsidRPr="00093A94">
              <w:rPr>
                <w:rFonts w:ascii="Calibri" w:hAnsi="Calibri" w:cstheme="majorHAnsi"/>
                <w:b w:val="0"/>
              </w:rPr>
              <w:t xml:space="preserve"> NIP, přenos impulsů vzešlých z činnosti NIP na řídicí úroveň je </w:t>
            </w:r>
            <w:r w:rsidR="007A78B5" w:rsidRPr="00093A94">
              <w:rPr>
                <w:rFonts w:ascii="Calibri" w:hAnsi="Calibri" w:cstheme="majorHAnsi"/>
              </w:rPr>
              <w:t xml:space="preserve">omezený </w:t>
            </w:r>
            <w:r w:rsidR="007A78B5" w:rsidRPr="00093A94">
              <w:rPr>
                <w:rFonts w:ascii="Calibri" w:hAnsi="Calibri" w:cstheme="majorHAnsi"/>
                <w:b w:val="0"/>
              </w:rPr>
              <w:t xml:space="preserve">a činnosti NIP se vyznačují </w:t>
            </w:r>
            <w:r w:rsidR="007A78B5" w:rsidRPr="00093A94">
              <w:rPr>
                <w:rFonts w:ascii="Calibri" w:hAnsi="Calibri" w:cstheme="majorHAnsi"/>
              </w:rPr>
              <w:t>nesystematickým přístupem</w:t>
            </w:r>
            <w:r w:rsidR="007A78B5" w:rsidRPr="00093A94">
              <w:rPr>
                <w:rFonts w:ascii="Calibri" w:hAnsi="Calibri" w:cstheme="majorHAnsi"/>
                <w:b w:val="0"/>
              </w:rPr>
              <w:t xml:space="preserve">. </w:t>
            </w:r>
          </w:p>
          <w:p w14:paraId="299FCF8D" w14:textId="26706B68" w:rsidR="00A94012" w:rsidRPr="00093A94" w:rsidRDefault="008D1070" w:rsidP="00671FEE">
            <w:pPr>
              <w:spacing w:before="0" w:after="60" w:line="240" w:lineRule="auto"/>
              <w:rPr>
                <w:rFonts w:ascii="Calibri" w:eastAsia="Geneva" w:hAnsi="Calibri"/>
                <w:bCs w:val="0"/>
                <w:iCs/>
              </w:rPr>
            </w:pPr>
            <w:r w:rsidRPr="00093A94">
              <w:rPr>
                <w:rFonts w:ascii="Calibri" w:hAnsi="Calibri" w:cstheme="majorHAnsi"/>
                <w:b w:val="0"/>
              </w:rPr>
              <w:lastRenderedPageBreak/>
              <w:t>Pro efektivní EDP proces je nezbytné optimální personální zajištění. Expertní týmy musí být vybaveny znalostí celosvětových i</w:t>
            </w:r>
            <w:r w:rsidR="0062740F">
              <w:rPr>
                <w:rFonts w:ascii="Calibri" w:hAnsi="Calibri" w:cstheme="majorHAnsi"/>
                <w:b w:val="0"/>
              </w:rPr>
              <w:t> </w:t>
            </w:r>
            <w:r w:rsidRPr="00093A94">
              <w:rPr>
                <w:rFonts w:ascii="Calibri" w:hAnsi="Calibri" w:cstheme="majorHAnsi"/>
                <w:b w:val="0"/>
              </w:rPr>
              <w:t>evropských trendů, musí využívat participativního přístupu a</w:t>
            </w:r>
            <w:r w:rsidR="00AB60DE">
              <w:rPr>
                <w:rFonts w:ascii="Calibri" w:hAnsi="Calibri" w:cstheme="majorHAnsi"/>
                <w:b w:val="0"/>
              </w:rPr>
              <w:t> </w:t>
            </w:r>
            <w:r w:rsidRPr="00093A94">
              <w:rPr>
                <w:rFonts w:ascii="Calibri" w:hAnsi="Calibri" w:cstheme="majorHAnsi"/>
                <w:b w:val="0"/>
              </w:rPr>
              <w:t>efektivně organizovat stakeholdery a mít zajištěno stabilní a</w:t>
            </w:r>
            <w:r w:rsidR="006001B1">
              <w:rPr>
                <w:rFonts w:ascii="Calibri" w:hAnsi="Calibri" w:cstheme="majorHAnsi"/>
                <w:b w:val="0"/>
              </w:rPr>
              <w:t> </w:t>
            </w:r>
            <w:r w:rsidRPr="00093A94">
              <w:rPr>
                <w:rFonts w:ascii="Calibri" w:hAnsi="Calibri" w:cstheme="majorHAnsi"/>
                <w:b w:val="0"/>
              </w:rPr>
              <w:t xml:space="preserve">předvídatelné prostředí pro svou práci. </w:t>
            </w:r>
            <w:r w:rsidR="007A78B5" w:rsidRPr="00093A94">
              <w:rPr>
                <w:rFonts w:ascii="Calibri" w:hAnsi="Calibri" w:cstheme="majorHAnsi"/>
                <w:b w:val="0"/>
              </w:rPr>
              <w:t xml:space="preserve">V čele NIP by měl stát </w:t>
            </w:r>
            <w:r w:rsidR="007A78B5" w:rsidRPr="00093A94">
              <w:rPr>
                <w:rFonts w:ascii="Calibri" w:hAnsi="Calibri" w:cstheme="majorHAnsi"/>
              </w:rPr>
              <w:t>odborný garant</w:t>
            </w:r>
            <w:r w:rsidR="007A78B5" w:rsidRPr="00093A94">
              <w:rPr>
                <w:rFonts w:ascii="Calibri" w:hAnsi="Calibri" w:cstheme="majorHAnsi"/>
                <w:b w:val="0"/>
              </w:rPr>
              <w:t xml:space="preserve">. </w:t>
            </w:r>
            <w:r w:rsidR="007A78B5" w:rsidRPr="00093A94">
              <w:rPr>
                <w:rFonts w:ascii="Calibri" w:hAnsi="Calibri" w:cstheme="majorHAnsi"/>
              </w:rPr>
              <w:t>Facilitace expertních diskusí NIP</w:t>
            </w:r>
            <w:r w:rsidR="007A78B5" w:rsidRPr="00093A94">
              <w:rPr>
                <w:rFonts w:ascii="Calibri" w:hAnsi="Calibri" w:cstheme="majorHAnsi"/>
                <w:b w:val="0"/>
              </w:rPr>
              <w:t xml:space="preserve"> by měla být přenechána </w:t>
            </w:r>
            <w:r w:rsidR="007A78B5" w:rsidRPr="00093A94">
              <w:rPr>
                <w:rFonts w:ascii="Calibri" w:hAnsi="Calibri" w:cstheme="majorHAnsi"/>
              </w:rPr>
              <w:t>erudovaným odborníkům daného sektoru</w:t>
            </w:r>
            <w:r w:rsidR="007A78B5" w:rsidRPr="00093A94">
              <w:rPr>
                <w:rFonts w:ascii="Calibri" w:hAnsi="Calibri" w:cstheme="majorHAnsi"/>
                <w:b w:val="0"/>
              </w:rPr>
              <w:t xml:space="preserve"> (prioritního oboru), kteří budou schopni vést diskusi na </w:t>
            </w:r>
            <w:r w:rsidR="007A78B5" w:rsidRPr="00093A94">
              <w:rPr>
                <w:rFonts w:ascii="Calibri" w:hAnsi="Calibri" w:cstheme="majorHAnsi"/>
              </w:rPr>
              <w:t>vysoké odborné úrovni</w:t>
            </w:r>
            <w:r w:rsidR="007A78B5" w:rsidRPr="00093A94">
              <w:rPr>
                <w:rFonts w:ascii="Calibri" w:hAnsi="Calibri" w:cstheme="majorHAnsi"/>
                <w:b w:val="0"/>
              </w:rPr>
              <w:t xml:space="preserve"> a budou považováni ostatními stakeholdery za </w:t>
            </w:r>
            <w:r w:rsidR="007A78B5" w:rsidRPr="00093A94">
              <w:rPr>
                <w:rFonts w:ascii="Calibri" w:hAnsi="Calibri" w:cstheme="majorHAnsi"/>
              </w:rPr>
              <w:t>odborné autority</w:t>
            </w:r>
            <w:r w:rsidR="007A78B5" w:rsidRPr="00093A94">
              <w:rPr>
                <w:rFonts w:ascii="Calibri" w:hAnsi="Calibri" w:cstheme="majorHAnsi"/>
                <w:b w:val="0"/>
              </w:rPr>
              <w:t>.</w:t>
            </w:r>
          </w:p>
        </w:tc>
        <w:tc>
          <w:tcPr>
            <w:tcW w:w="7229" w:type="dxa"/>
          </w:tcPr>
          <w:p w14:paraId="72EA181B" w14:textId="77777777" w:rsidR="008D1070" w:rsidRPr="00093A94" w:rsidRDefault="008D1070" w:rsidP="009B65B9">
            <w:pPr>
              <w:pStyle w:val="Odstavecseseznamem"/>
              <w:numPr>
                <w:ilvl w:val="0"/>
                <w:numId w:val="39"/>
              </w:numPr>
              <w:spacing w:before="60" w:after="0" w:line="240" w:lineRule="auto"/>
              <w:ind w:left="318" w:hanging="284"/>
              <w:jc w:val="left"/>
              <w:cnfStyle w:val="000000100000" w:firstRow="0" w:lastRow="0" w:firstColumn="0" w:lastColumn="0" w:oddVBand="0" w:evenVBand="0" w:oddHBand="1" w:evenHBand="0" w:firstRowFirstColumn="0" w:firstRowLastColumn="0" w:lastRowFirstColumn="0" w:lastRowLastColumn="0"/>
              <w:rPr>
                <w:rFonts w:ascii="Calibri" w:eastAsia="Geneva" w:hAnsi="Calibri" w:cs="Calibri"/>
                <w:bCs/>
                <w:iCs/>
              </w:rPr>
            </w:pPr>
            <w:r w:rsidRPr="00093A94">
              <w:rPr>
                <w:rFonts w:ascii="Calibri" w:eastAsia="Geneva" w:hAnsi="Calibri" w:cs="Calibri"/>
                <w:bCs/>
                <w:iCs/>
              </w:rPr>
              <w:lastRenderedPageBreak/>
              <w:t xml:space="preserve">zvážit </w:t>
            </w:r>
            <w:r w:rsidRPr="00093A94">
              <w:rPr>
                <w:rFonts w:ascii="Calibri" w:eastAsia="Geneva" w:hAnsi="Calibri" w:cs="Calibri"/>
                <w:b/>
                <w:bCs/>
                <w:iCs/>
              </w:rPr>
              <w:t>úpravu struktury NIP</w:t>
            </w:r>
            <w:r w:rsidRPr="00093A94">
              <w:rPr>
                <w:rFonts w:ascii="Calibri" w:eastAsia="Geneva" w:hAnsi="Calibri" w:cs="Calibri"/>
                <w:bCs/>
                <w:iCs/>
              </w:rPr>
              <w:t xml:space="preserve"> v návaznosti na prioritizaci a specializaci</w:t>
            </w:r>
            <w:r w:rsidR="00D2500D" w:rsidRPr="00093A94">
              <w:rPr>
                <w:rFonts w:ascii="Calibri" w:eastAsia="Geneva" w:hAnsi="Calibri" w:cs="Calibri"/>
                <w:bCs/>
                <w:iCs/>
              </w:rPr>
              <w:t xml:space="preserve"> (zvážit úpravu struktury NIP dle znalostních domén)</w:t>
            </w:r>
          </w:p>
          <w:p w14:paraId="19ABBEE2" w14:textId="77777777" w:rsidR="008D1070" w:rsidRPr="00093A94" w:rsidRDefault="008D1070" w:rsidP="008D1070">
            <w:pPr>
              <w:pStyle w:val="Odstavecseseznamem"/>
              <w:numPr>
                <w:ilvl w:val="0"/>
                <w:numId w:val="39"/>
              </w:numPr>
              <w:spacing w:before="0" w:after="0" w:line="240" w:lineRule="auto"/>
              <w:ind w:left="317" w:hanging="283"/>
              <w:jc w:val="left"/>
              <w:cnfStyle w:val="000000100000" w:firstRow="0" w:lastRow="0" w:firstColumn="0" w:lastColumn="0" w:oddVBand="0" w:evenVBand="0" w:oddHBand="1" w:evenHBand="0" w:firstRowFirstColumn="0" w:firstRowLastColumn="0" w:lastRowFirstColumn="0" w:lastRowLastColumn="0"/>
              <w:rPr>
                <w:rFonts w:ascii="Calibri" w:eastAsia="Geneva" w:hAnsi="Calibri" w:cs="Calibri"/>
                <w:b/>
                <w:bCs/>
                <w:iCs/>
              </w:rPr>
            </w:pPr>
            <w:r w:rsidRPr="00093A94">
              <w:rPr>
                <w:rFonts w:ascii="Calibri" w:hAnsi="Calibri" w:cs="Calibri"/>
                <w:lang w:bidi="ar-SA"/>
              </w:rPr>
              <w:t>ustanovit do</w:t>
            </w:r>
            <w:r w:rsidR="007A78B5" w:rsidRPr="00093A94">
              <w:rPr>
                <w:rFonts w:ascii="Calibri" w:hAnsi="Calibri" w:cs="Calibri"/>
                <w:lang w:bidi="ar-SA"/>
              </w:rPr>
              <w:t> čel</w:t>
            </w:r>
            <w:r w:rsidRPr="00093A94">
              <w:rPr>
                <w:rFonts w:ascii="Calibri" w:hAnsi="Calibri" w:cs="Calibri"/>
                <w:lang w:bidi="ar-SA"/>
              </w:rPr>
              <w:t>a</w:t>
            </w:r>
            <w:r w:rsidR="007A78B5" w:rsidRPr="00093A94">
              <w:rPr>
                <w:rFonts w:ascii="Calibri" w:hAnsi="Calibri" w:cs="Calibri"/>
                <w:lang w:bidi="ar-SA"/>
              </w:rPr>
              <w:t xml:space="preserve"> NIP </w:t>
            </w:r>
            <w:r w:rsidR="007A78B5" w:rsidRPr="00093A94">
              <w:rPr>
                <w:rFonts w:ascii="Calibri" w:hAnsi="Calibri" w:cs="Calibri"/>
                <w:b/>
                <w:lang w:bidi="ar-SA"/>
              </w:rPr>
              <w:t>odborn</w:t>
            </w:r>
            <w:r w:rsidRPr="00093A94">
              <w:rPr>
                <w:rFonts w:ascii="Calibri" w:hAnsi="Calibri" w:cs="Calibri"/>
                <w:b/>
                <w:lang w:bidi="ar-SA"/>
              </w:rPr>
              <w:t>ého</w:t>
            </w:r>
            <w:r w:rsidR="007A78B5" w:rsidRPr="00093A94">
              <w:rPr>
                <w:rFonts w:ascii="Calibri" w:hAnsi="Calibri" w:cs="Calibri"/>
                <w:b/>
                <w:lang w:bidi="ar-SA"/>
              </w:rPr>
              <w:t xml:space="preserve"> garant</w:t>
            </w:r>
            <w:r w:rsidRPr="00093A94">
              <w:rPr>
                <w:rFonts w:ascii="Calibri" w:hAnsi="Calibri" w:cs="Calibri"/>
                <w:b/>
                <w:lang w:bidi="ar-SA"/>
              </w:rPr>
              <w:t xml:space="preserve">a (odbornou autoritu) </w:t>
            </w:r>
            <w:r w:rsidRPr="00093A94">
              <w:rPr>
                <w:rFonts w:ascii="Calibri" w:hAnsi="Calibri" w:cs="Calibri"/>
                <w:lang w:bidi="ar-SA"/>
              </w:rPr>
              <w:t>a jeho činnost</w:t>
            </w:r>
            <w:r w:rsidRPr="00093A94">
              <w:rPr>
                <w:rFonts w:ascii="Calibri" w:hAnsi="Calibri" w:cs="Calibri"/>
                <w:b/>
                <w:lang w:bidi="ar-SA"/>
              </w:rPr>
              <w:t xml:space="preserve"> finančně ohodnotit</w:t>
            </w:r>
          </w:p>
          <w:p w14:paraId="6CC691BB" w14:textId="77777777" w:rsidR="008D1070" w:rsidRPr="00093A94" w:rsidRDefault="008D1070" w:rsidP="008D1070">
            <w:pPr>
              <w:pStyle w:val="Odstavecseseznamem"/>
              <w:numPr>
                <w:ilvl w:val="0"/>
                <w:numId w:val="39"/>
              </w:numPr>
              <w:spacing w:before="0" w:after="0" w:line="240" w:lineRule="auto"/>
              <w:ind w:left="317" w:hanging="283"/>
              <w:jc w:val="left"/>
              <w:cnfStyle w:val="000000100000" w:firstRow="0" w:lastRow="0" w:firstColumn="0" w:lastColumn="0" w:oddVBand="0" w:evenVBand="0" w:oddHBand="1" w:evenHBand="0" w:firstRowFirstColumn="0" w:firstRowLastColumn="0" w:lastRowFirstColumn="0" w:lastRowLastColumn="0"/>
              <w:rPr>
                <w:rFonts w:ascii="Calibri" w:eastAsia="Geneva" w:hAnsi="Calibri" w:cs="Calibri"/>
                <w:bCs/>
                <w:iCs/>
              </w:rPr>
            </w:pPr>
            <w:r w:rsidRPr="00093A94">
              <w:rPr>
                <w:rFonts w:ascii="Calibri" w:hAnsi="Calibri" w:cs="Calibri"/>
                <w:lang w:bidi="ar-SA"/>
              </w:rPr>
              <w:t>zvážit úpravu členů v jednotlivých NIP</w:t>
            </w:r>
          </w:p>
          <w:p w14:paraId="18D1A487" w14:textId="77777777" w:rsidR="00A94012" w:rsidRPr="00093A94" w:rsidRDefault="008D1070" w:rsidP="008D1070">
            <w:pPr>
              <w:pStyle w:val="Odstavecseseznamem"/>
              <w:numPr>
                <w:ilvl w:val="0"/>
                <w:numId w:val="39"/>
              </w:numPr>
              <w:spacing w:before="0" w:after="0" w:line="240" w:lineRule="auto"/>
              <w:ind w:left="317" w:hanging="283"/>
              <w:jc w:val="left"/>
              <w:cnfStyle w:val="000000100000" w:firstRow="0" w:lastRow="0" w:firstColumn="0" w:lastColumn="0" w:oddVBand="0" w:evenVBand="0" w:oddHBand="1" w:evenHBand="0" w:firstRowFirstColumn="0" w:firstRowLastColumn="0" w:lastRowFirstColumn="0" w:lastRowLastColumn="0"/>
              <w:rPr>
                <w:rFonts w:ascii="Calibri" w:eastAsia="Geneva" w:hAnsi="Calibri" w:cs="Calibri"/>
                <w:bCs/>
                <w:iCs/>
              </w:rPr>
            </w:pPr>
            <w:r w:rsidRPr="00093A94">
              <w:rPr>
                <w:rFonts w:ascii="Calibri" w:eastAsia="Geneva" w:hAnsi="Calibri" w:cs="Calibri"/>
                <w:bCs/>
                <w:iCs/>
              </w:rPr>
              <w:t>institucionalizovat činnost NIP (připravit statut a jednací řád)</w:t>
            </w:r>
            <w:r w:rsidR="007A78B5" w:rsidRPr="00093A94">
              <w:rPr>
                <w:rFonts w:ascii="Calibri" w:eastAsia="Geneva" w:hAnsi="Calibri" w:cs="Calibri"/>
                <w:bCs/>
                <w:iCs/>
              </w:rPr>
              <w:t xml:space="preserve"> </w:t>
            </w:r>
          </w:p>
        </w:tc>
      </w:tr>
      <w:tr w:rsidR="007A78B5" w:rsidRPr="00093A94" w14:paraId="66AD7C52" w14:textId="77777777" w:rsidTr="00DF5949">
        <w:tc>
          <w:tcPr>
            <w:cnfStyle w:val="001000000000" w:firstRow="0" w:lastRow="0" w:firstColumn="1" w:lastColumn="0" w:oddVBand="0" w:evenVBand="0" w:oddHBand="0" w:evenHBand="0" w:firstRowFirstColumn="0" w:firstRowLastColumn="0" w:lastRowFirstColumn="0" w:lastRowLastColumn="0"/>
            <w:tcW w:w="6521" w:type="dxa"/>
          </w:tcPr>
          <w:p w14:paraId="7A3561AC" w14:textId="123E43B4" w:rsidR="007A78B5" w:rsidRPr="00093A94" w:rsidRDefault="00F439C1" w:rsidP="009B65B9">
            <w:pPr>
              <w:spacing w:before="60" w:after="120" w:line="240" w:lineRule="auto"/>
              <w:rPr>
                <w:rFonts w:ascii="Calibri" w:hAnsi="Calibri" w:cstheme="majorHAnsi"/>
                <w:u w:val="single"/>
              </w:rPr>
            </w:pPr>
            <w:r w:rsidRPr="00093A94">
              <w:rPr>
                <w:rFonts w:ascii="Calibri" w:hAnsi="Calibri" w:cstheme="majorHAnsi"/>
                <w:u w:val="single"/>
              </w:rPr>
              <w:t>M</w:t>
            </w:r>
            <w:r w:rsidR="007A78B5" w:rsidRPr="00093A94">
              <w:rPr>
                <w:rFonts w:ascii="Calibri" w:hAnsi="Calibri" w:cstheme="majorHAnsi"/>
                <w:u w:val="single"/>
              </w:rPr>
              <w:t>etodické vedení</w:t>
            </w:r>
            <w:r w:rsidR="002401D9" w:rsidRPr="00093A94">
              <w:rPr>
                <w:rFonts w:ascii="Calibri" w:hAnsi="Calibri" w:cstheme="majorHAnsi"/>
                <w:u w:val="single"/>
              </w:rPr>
              <w:t xml:space="preserve"> realizace Národní RIS3 strategie</w:t>
            </w:r>
          </w:p>
          <w:p w14:paraId="6CF0FBBE" w14:textId="79B7FB79" w:rsidR="0054312F" w:rsidRPr="00093A94" w:rsidRDefault="00D2500D" w:rsidP="008D1070">
            <w:pPr>
              <w:spacing w:before="0" w:after="0" w:line="240" w:lineRule="auto"/>
              <w:rPr>
                <w:rFonts w:ascii="Calibri" w:hAnsi="Calibri" w:cstheme="majorHAnsi"/>
                <w:b w:val="0"/>
              </w:rPr>
            </w:pPr>
            <w:r w:rsidRPr="00093A94">
              <w:rPr>
                <w:rFonts w:ascii="Calibri" w:hAnsi="Calibri" w:cstheme="majorHAnsi"/>
                <w:b w:val="0"/>
              </w:rPr>
              <w:t xml:space="preserve">Nízká míra </w:t>
            </w:r>
            <w:r w:rsidR="0054312F" w:rsidRPr="00093A94">
              <w:rPr>
                <w:rFonts w:ascii="Calibri" w:hAnsi="Calibri" w:cstheme="majorHAnsi"/>
                <w:b w:val="0"/>
              </w:rPr>
              <w:t>metodické</w:t>
            </w:r>
            <w:r w:rsidRPr="00093A94">
              <w:rPr>
                <w:rFonts w:ascii="Calibri" w:hAnsi="Calibri" w:cstheme="majorHAnsi"/>
                <w:b w:val="0"/>
              </w:rPr>
              <w:t>ho</w:t>
            </w:r>
            <w:r w:rsidR="0054312F" w:rsidRPr="00093A94">
              <w:rPr>
                <w:rFonts w:ascii="Calibri" w:hAnsi="Calibri" w:cstheme="majorHAnsi"/>
                <w:b w:val="0"/>
              </w:rPr>
              <w:t xml:space="preserve"> vedení jak ve vztahu k nositelům dotačních programů, tak ve vztahu ke krajům je jednou ze </w:t>
            </w:r>
            <w:r w:rsidR="00CA162A" w:rsidRPr="00093A94">
              <w:rPr>
                <w:rFonts w:ascii="Calibri" w:hAnsi="Calibri" w:cstheme="majorHAnsi"/>
              </w:rPr>
              <w:t xml:space="preserve">slabších </w:t>
            </w:r>
            <w:r w:rsidR="0054312F" w:rsidRPr="00093A94">
              <w:rPr>
                <w:rFonts w:ascii="Calibri" w:hAnsi="Calibri" w:cstheme="majorHAnsi"/>
              </w:rPr>
              <w:t>stránek</w:t>
            </w:r>
            <w:r w:rsidR="0054312F" w:rsidRPr="00093A94">
              <w:rPr>
                <w:rFonts w:ascii="Calibri" w:hAnsi="Calibri" w:cstheme="majorHAnsi"/>
                <w:b w:val="0"/>
              </w:rPr>
              <w:t xml:space="preserve"> realizace Národní RIS3 strategie.</w:t>
            </w:r>
          </w:p>
          <w:p w14:paraId="73F69664" w14:textId="77777777" w:rsidR="007A78B5" w:rsidRPr="00093A94" w:rsidRDefault="007A78B5" w:rsidP="009B65B9">
            <w:pPr>
              <w:spacing w:before="0" w:after="60" w:line="240" w:lineRule="auto"/>
              <w:rPr>
                <w:rFonts w:ascii="Calibri" w:hAnsi="Calibri" w:cstheme="majorHAnsi"/>
                <w:b w:val="0"/>
              </w:rPr>
            </w:pPr>
            <w:r w:rsidRPr="00093A94">
              <w:rPr>
                <w:rFonts w:ascii="Calibri" w:hAnsi="Calibri" w:cstheme="majorHAnsi"/>
                <w:b w:val="0"/>
              </w:rPr>
              <w:t xml:space="preserve">Analytický tým (Oddělení strategie S3 spolu s Národním RIS3 manažerem) se potýká s výraznou personální poddimenzovaností ve vztahu k rozsahu RIS3 agendy. To představuje </w:t>
            </w:r>
            <w:r w:rsidRPr="00093A94">
              <w:rPr>
                <w:rFonts w:ascii="Calibri" w:hAnsi="Calibri" w:cstheme="majorHAnsi"/>
              </w:rPr>
              <w:t>riziko pro systematické koncepční a metodické vedení</w:t>
            </w:r>
            <w:r w:rsidRPr="00093A94">
              <w:rPr>
                <w:rFonts w:ascii="Calibri" w:hAnsi="Calibri" w:cstheme="majorHAnsi"/>
                <w:b w:val="0"/>
              </w:rPr>
              <w:t xml:space="preserve">, které je časově náročné a pro plnění aktuálních povinností může být odsouváno do pozadí. </w:t>
            </w:r>
          </w:p>
        </w:tc>
        <w:tc>
          <w:tcPr>
            <w:tcW w:w="7229" w:type="dxa"/>
          </w:tcPr>
          <w:p w14:paraId="55F46998" w14:textId="77777777" w:rsidR="007A78B5" w:rsidRPr="00093A94" w:rsidRDefault="0054312F" w:rsidP="009B65B9">
            <w:pPr>
              <w:pStyle w:val="Odstavecseseznamem"/>
              <w:numPr>
                <w:ilvl w:val="0"/>
                <w:numId w:val="38"/>
              </w:numPr>
              <w:spacing w:before="60" w:after="0" w:line="240" w:lineRule="auto"/>
              <w:ind w:left="318" w:hanging="284"/>
              <w:cnfStyle w:val="000000000000" w:firstRow="0" w:lastRow="0" w:firstColumn="0" w:lastColumn="0" w:oddVBand="0" w:evenVBand="0" w:oddHBand="0" w:evenHBand="0" w:firstRowFirstColumn="0" w:firstRowLastColumn="0" w:lastRowFirstColumn="0" w:lastRowLastColumn="0"/>
              <w:rPr>
                <w:rFonts w:ascii="Calibri" w:eastAsia="Geneva" w:hAnsi="Calibri"/>
                <w:bCs/>
                <w:iCs/>
              </w:rPr>
            </w:pPr>
            <w:r w:rsidRPr="00093A94">
              <w:rPr>
                <w:rFonts w:ascii="Calibri" w:eastAsia="Geneva" w:hAnsi="Calibri"/>
                <w:bCs/>
                <w:iCs/>
              </w:rPr>
              <w:t xml:space="preserve">pokračovat v účinné </w:t>
            </w:r>
            <w:r w:rsidRPr="00093A94">
              <w:rPr>
                <w:rFonts w:ascii="Calibri" w:eastAsia="Geneva" w:hAnsi="Calibri"/>
                <w:b/>
                <w:bCs/>
                <w:iCs/>
              </w:rPr>
              <w:t>komunikaci</w:t>
            </w:r>
            <w:r w:rsidRPr="00093A94">
              <w:rPr>
                <w:rFonts w:ascii="Calibri" w:eastAsia="Geneva" w:hAnsi="Calibri"/>
                <w:bCs/>
                <w:iCs/>
              </w:rPr>
              <w:t xml:space="preserve"> a přenosu informací jak v horizontální rovině (rezortní přístup) tak ve vertikální rovině (směrem ke krajům)</w:t>
            </w:r>
          </w:p>
          <w:p w14:paraId="1C83E262" w14:textId="77777777" w:rsidR="0054312F" w:rsidRPr="00093A94" w:rsidRDefault="0054312F" w:rsidP="0054312F">
            <w:pPr>
              <w:pStyle w:val="Odstavecseseznamem"/>
              <w:numPr>
                <w:ilvl w:val="0"/>
                <w:numId w:val="38"/>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ascii="Calibri" w:eastAsia="Geneva" w:hAnsi="Calibri"/>
                <w:bCs/>
                <w:iCs/>
              </w:rPr>
            </w:pPr>
            <w:r w:rsidRPr="00093A94">
              <w:rPr>
                <w:rFonts w:ascii="Calibri" w:eastAsia="Geneva" w:hAnsi="Calibri"/>
                <w:bCs/>
                <w:iCs/>
              </w:rPr>
              <w:t xml:space="preserve">zaměřit úsilí na </w:t>
            </w:r>
            <w:r w:rsidRPr="00093A94">
              <w:rPr>
                <w:rFonts w:ascii="Calibri" w:eastAsia="Geneva" w:hAnsi="Calibri"/>
                <w:b/>
                <w:bCs/>
                <w:iCs/>
              </w:rPr>
              <w:t>koordinaci</w:t>
            </w:r>
            <w:r w:rsidRPr="00093A94">
              <w:rPr>
                <w:rFonts w:ascii="Calibri" w:eastAsia="Geneva" w:hAnsi="Calibri"/>
                <w:bCs/>
                <w:iCs/>
              </w:rPr>
              <w:t xml:space="preserve"> významných stakeholderů a jejich </w:t>
            </w:r>
            <w:r w:rsidRPr="00093A94">
              <w:rPr>
                <w:rFonts w:ascii="Calibri" w:eastAsia="Geneva" w:hAnsi="Calibri"/>
                <w:b/>
                <w:bCs/>
                <w:iCs/>
              </w:rPr>
              <w:t>metodickém vedení</w:t>
            </w:r>
            <w:r w:rsidRPr="00093A94">
              <w:rPr>
                <w:rFonts w:ascii="Calibri" w:eastAsia="Geneva" w:hAnsi="Calibri"/>
                <w:bCs/>
                <w:iCs/>
              </w:rPr>
              <w:t xml:space="preserve"> při implementaci Národní RIS3 strategie (např. </w:t>
            </w:r>
            <w:r w:rsidRPr="00093A94">
              <w:rPr>
                <w:rFonts w:ascii="Calibri" w:eastAsia="Geneva" w:hAnsi="Calibri"/>
                <w:b/>
                <w:bCs/>
                <w:iCs/>
              </w:rPr>
              <w:t>koordinace a metodická podpora krajů</w:t>
            </w:r>
            <w:r w:rsidRPr="00093A94">
              <w:rPr>
                <w:rFonts w:ascii="Calibri" w:eastAsia="Geneva" w:hAnsi="Calibri"/>
                <w:bCs/>
                <w:iCs/>
              </w:rPr>
              <w:t xml:space="preserve"> při přípravě krajských příloh 2021+, koordinace a metodický „pokyn“ týkající se bonifikace souladu projektů s Národní RIS3 strategií apod.)</w:t>
            </w:r>
          </w:p>
          <w:p w14:paraId="0A908E3D" w14:textId="77777777" w:rsidR="0054312F" w:rsidRPr="00093A94" w:rsidRDefault="0054312F" w:rsidP="0054312F">
            <w:pPr>
              <w:pStyle w:val="Odstavecseseznamem"/>
              <w:numPr>
                <w:ilvl w:val="0"/>
                <w:numId w:val="38"/>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ascii="Calibri" w:eastAsia="Geneva" w:hAnsi="Calibri"/>
                <w:bCs/>
                <w:iCs/>
              </w:rPr>
            </w:pPr>
            <w:r w:rsidRPr="00093A94">
              <w:rPr>
                <w:rFonts w:ascii="Calibri" w:eastAsia="Geneva" w:hAnsi="Calibri"/>
                <w:bCs/>
                <w:iCs/>
              </w:rPr>
              <w:t>zvážit personální posílení Oddělení strategie S3</w:t>
            </w:r>
          </w:p>
        </w:tc>
      </w:tr>
      <w:tr w:rsidR="00D55669" w:rsidRPr="00093A94" w14:paraId="2F7FDDB5" w14:textId="77777777" w:rsidTr="00DA77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1" w:type="dxa"/>
            <w:shd w:val="clear" w:color="auto" w:fill="auto"/>
          </w:tcPr>
          <w:p w14:paraId="28873E8A" w14:textId="77777777" w:rsidR="00D55669" w:rsidRPr="00093A94" w:rsidRDefault="00D55669" w:rsidP="009B65B9">
            <w:pPr>
              <w:spacing w:before="60" w:after="120" w:line="240" w:lineRule="auto"/>
              <w:jc w:val="left"/>
              <w:rPr>
                <w:rFonts w:ascii="Calibri" w:hAnsi="Calibri" w:cs="Calibri"/>
                <w:u w:val="single"/>
              </w:rPr>
            </w:pPr>
            <w:r w:rsidRPr="00093A94">
              <w:rPr>
                <w:rFonts w:ascii="Calibri" w:hAnsi="Calibri" w:cs="Calibri"/>
                <w:u w:val="single"/>
              </w:rPr>
              <w:t>Monitoring Národní RIS3 strategie</w:t>
            </w:r>
          </w:p>
          <w:p w14:paraId="67770B6C" w14:textId="5A1E99E7" w:rsidR="007C02EF" w:rsidRPr="00B60EF5" w:rsidRDefault="00696D31" w:rsidP="00696D31">
            <w:pPr>
              <w:spacing w:before="0" w:after="0" w:line="240" w:lineRule="auto"/>
              <w:rPr>
                <w:rFonts w:ascii="Calibri" w:eastAsia="Times New Roman" w:hAnsi="Calibri" w:cs="Calibri"/>
                <w:b w:val="0"/>
                <w:color w:val="000000"/>
                <w:spacing w:val="-4"/>
                <w:lang w:eastAsia="cs-CZ" w:bidi="ar-SA"/>
              </w:rPr>
            </w:pPr>
            <w:r w:rsidRPr="00093A94">
              <w:rPr>
                <w:rFonts w:ascii="Calibri" w:eastAsia="Times New Roman" w:hAnsi="Calibri" w:cs="Calibri"/>
                <w:b w:val="0"/>
                <w:color w:val="000000"/>
                <w:spacing w:val="-4"/>
                <w:lang w:eastAsia="cs-CZ" w:bidi="ar-SA"/>
              </w:rPr>
              <w:t>V</w:t>
            </w:r>
            <w:r w:rsidR="007C02EF" w:rsidRPr="00093A94">
              <w:rPr>
                <w:rFonts w:ascii="Calibri" w:eastAsia="Times New Roman" w:hAnsi="Calibri" w:cs="Calibri"/>
                <w:b w:val="0"/>
                <w:color w:val="000000"/>
                <w:spacing w:val="-4"/>
                <w:lang w:eastAsia="cs-CZ" w:bidi="ar-SA"/>
              </w:rPr>
              <w:t xml:space="preserve">e vztahu k Národní RIS3 strategii </w:t>
            </w:r>
            <w:r w:rsidR="007C02EF" w:rsidRPr="00093A94">
              <w:rPr>
                <w:rFonts w:ascii="Calibri" w:eastAsia="Times New Roman" w:hAnsi="Calibri" w:cs="Calibri"/>
                <w:color w:val="000000"/>
                <w:spacing w:val="-4"/>
                <w:lang w:eastAsia="cs-CZ" w:bidi="ar-SA"/>
              </w:rPr>
              <w:t>není</w:t>
            </w:r>
            <w:r w:rsidR="00086797" w:rsidRPr="00093A94">
              <w:rPr>
                <w:rFonts w:ascii="Calibri" w:eastAsia="Times New Roman" w:hAnsi="Calibri" w:cs="Calibri"/>
                <w:color w:val="000000"/>
                <w:spacing w:val="-4"/>
                <w:lang w:eastAsia="cs-CZ" w:bidi="ar-SA"/>
              </w:rPr>
              <w:t xml:space="preserve"> možno</w:t>
            </w:r>
            <w:r w:rsidR="007C02EF" w:rsidRPr="00093A94">
              <w:rPr>
                <w:rFonts w:ascii="Calibri" w:eastAsia="Times New Roman" w:hAnsi="Calibri" w:cs="Calibri"/>
                <w:color w:val="000000"/>
                <w:spacing w:val="-4"/>
                <w:lang w:eastAsia="cs-CZ" w:bidi="ar-SA"/>
              </w:rPr>
              <w:t xml:space="preserve"> </w:t>
            </w:r>
            <w:r w:rsidR="00086797" w:rsidRPr="00093A94">
              <w:rPr>
                <w:rFonts w:ascii="Calibri" w:eastAsia="Times New Roman" w:hAnsi="Calibri" w:cs="Calibri"/>
                <w:color w:val="000000"/>
                <w:spacing w:val="-4"/>
                <w:lang w:eastAsia="cs-CZ" w:bidi="ar-SA"/>
              </w:rPr>
              <w:t>v současném nastavení systému MS2014+ a IS VaVaI zajistit</w:t>
            </w:r>
            <w:r w:rsidR="00BB35E5">
              <w:rPr>
                <w:rFonts w:ascii="Calibri" w:eastAsia="Times New Roman" w:hAnsi="Calibri" w:cs="Calibri"/>
                <w:color w:val="000000"/>
                <w:spacing w:val="-4"/>
                <w:lang w:eastAsia="cs-CZ" w:bidi="ar-SA"/>
              </w:rPr>
              <w:t xml:space="preserve"> </w:t>
            </w:r>
            <w:r w:rsidR="007C02EF" w:rsidRPr="00B60EF5">
              <w:rPr>
                <w:rFonts w:ascii="Calibri" w:eastAsia="Times New Roman" w:hAnsi="Calibri" w:cs="Calibri"/>
                <w:b w:val="0"/>
                <w:color w:val="000000"/>
                <w:spacing w:val="-4"/>
                <w:lang w:eastAsia="cs-CZ" w:bidi="ar-SA"/>
              </w:rPr>
              <w:t>jednotný přístup k</w:t>
            </w:r>
            <w:r w:rsidRPr="00B60EF5">
              <w:rPr>
                <w:rFonts w:ascii="Calibri" w:eastAsia="Times New Roman" w:hAnsi="Calibri" w:cs="Calibri"/>
                <w:b w:val="0"/>
                <w:color w:val="000000"/>
                <w:spacing w:val="-4"/>
                <w:lang w:eastAsia="cs-CZ" w:bidi="ar-SA"/>
              </w:rPr>
              <w:t> </w:t>
            </w:r>
            <w:r w:rsidR="007C02EF" w:rsidRPr="00B60EF5">
              <w:rPr>
                <w:rFonts w:ascii="Calibri" w:eastAsia="Times New Roman" w:hAnsi="Calibri" w:cs="Calibri"/>
                <w:b w:val="0"/>
                <w:color w:val="000000"/>
                <w:spacing w:val="-4"/>
                <w:lang w:eastAsia="cs-CZ" w:bidi="ar-SA"/>
              </w:rPr>
              <w:t>monitorování</w:t>
            </w:r>
            <w:r w:rsidR="00086797" w:rsidRPr="00B60EF5">
              <w:rPr>
                <w:rFonts w:ascii="Calibri" w:eastAsia="Times New Roman" w:hAnsi="Calibri" w:cs="Calibri"/>
                <w:b w:val="0"/>
                <w:color w:val="000000"/>
                <w:spacing w:val="-4"/>
                <w:lang w:eastAsia="cs-CZ" w:bidi="ar-SA"/>
              </w:rPr>
              <w:t>. S</w:t>
            </w:r>
            <w:r w:rsidR="007C02EF" w:rsidRPr="00B60EF5">
              <w:rPr>
                <w:rFonts w:ascii="Calibri" w:eastAsia="Times New Roman" w:hAnsi="Calibri" w:cs="Calibri"/>
                <w:b w:val="0"/>
                <w:color w:val="000000"/>
                <w:spacing w:val="-4"/>
                <w:lang w:eastAsia="cs-CZ" w:bidi="ar-SA"/>
              </w:rPr>
              <w:t xml:space="preserve">jednocení monitorovacích dat do jednoho zdroje probíhá v rámci Oddělení strategie S3 (MPO) a je předmětem </w:t>
            </w:r>
            <w:r w:rsidR="007C02EF" w:rsidRPr="009D1E87">
              <w:rPr>
                <w:rFonts w:ascii="Calibri" w:eastAsia="Times New Roman" w:hAnsi="Calibri" w:cs="Calibri"/>
                <w:color w:val="000000"/>
                <w:spacing w:val="-4"/>
                <w:lang w:eastAsia="cs-CZ" w:bidi="ar-SA"/>
              </w:rPr>
              <w:t>dlouhodobé práce</w:t>
            </w:r>
            <w:r w:rsidR="007C02EF" w:rsidRPr="00B60EF5">
              <w:rPr>
                <w:rFonts w:ascii="Calibri" w:eastAsia="Times New Roman" w:hAnsi="Calibri" w:cs="Calibri"/>
                <w:b w:val="0"/>
                <w:color w:val="000000"/>
                <w:spacing w:val="-4"/>
                <w:lang w:eastAsia="cs-CZ" w:bidi="ar-SA"/>
              </w:rPr>
              <w:t xml:space="preserve"> na vhodném metodickém přístupu, který by umožnil efektivní průběžné hodnocení a evaluaci Národní RIS3 strategie.</w:t>
            </w:r>
          </w:p>
          <w:p w14:paraId="5CFE1F86" w14:textId="453CFBBE" w:rsidR="007C02EF" w:rsidRPr="00906A50" w:rsidRDefault="00696D31" w:rsidP="00696D31">
            <w:pPr>
              <w:spacing w:before="0" w:after="0" w:line="240" w:lineRule="auto"/>
              <w:rPr>
                <w:rFonts w:ascii="Calibri" w:hAnsi="Calibri" w:cs="Calibri"/>
                <w:b w:val="0"/>
                <w:lang w:bidi="ar-SA"/>
              </w:rPr>
            </w:pPr>
            <w:r w:rsidRPr="00906A50">
              <w:rPr>
                <w:rFonts w:ascii="Calibri" w:eastAsia="Times New Roman" w:hAnsi="Calibri" w:cs="Calibri"/>
                <w:b w:val="0"/>
                <w:color w:val="000000"/>
                <w:spacing w:val="-4"/>
                <w:lang w:eastAsia="cs-CZ" w:bidi="ar-SA"/>
              </w:rPr>
              <w:t xml:space="preserve">Přehled o finančních tocích </w:t>
            </w:r>
            <w:r w:rsidR="007C02EF" w:rsidRPr="00906A50">
              <w:rPr>
                <w:rFonts w:ascii="Calibri" w:eastAsia="Times New Roman" w:hAnsi="Calibri" w:cs="Calibri"/>
                <w:b w:val="0"/>
                <w:color w:val="000000"/>
                <w:spacing w:val="-4"/>
                <w:lang w:eastAsia="cs-CZ" w:bidi="ar-SA"/>
              </w:rPr>
              <w:t xml:space="preserve">je relativně </w:t>
            </w:r>
            <w:r w:rsidR="007C02EF" w:rsidRPr="009D1E87">
              <w:rPr>
                <w:rFonts w:ascii="Calibri" w:eastAsia="Times New Roman" w:hAnsi="Calibri" w:cs="Calibri"/>
                <w:color w:val="000000"/>
                <w:spacing w:val="-4"/>
                <w:lang w:eastAsia="cs-CZ" w:bidi="ar-SA"/>
              </w:rPr>
              <w:t>dobrý</w:t>
            </w:r>
            <w:r w:rsidRPr="00906A50">
              <w:rPr>
                <w:rFonts w:ascii="Calibri" w:eastAsia="Times New Roman" w:hAnsi="Calibri" w:cs="Calibri"/>
                <w:b w:val="0"/>
                <w:color w:val="000000"/>
                <w:spacing w:val="-4"/>
                <w:lang w:eastAsia="cs-CZ" w:bidi="ar-SA"/>
              </w:rPr>
              <w:t xml:space="preserve">, </w:t>
            </w:r>
            <w:r w:rsidR="00CA162A" w:rsidRPr="00906A50">
              <w:rPr>
                <w:rFonts w:ascii="Calibri" w:eastAsia="Times New Roman" w:hAnsi="Calibri" w:cs="Calibri"/>
                <w:b w:val="0"/>
                <w:color w:val="000000"/>
                <w:spacing w:val="-4"/>
                <w:lang w:eastAsia="cs-CZ" w:bidi="ar-SA"/>
              </w:rPr>
              <w:t xml:space="preserve">ne </w:t>
            </w:r>
            <w:r w:rsidRPr="00906A50">
              <w:rPr>
                <w:rFonts w:ascii="Calibri" w:eastAsia="Times New Roman" w:hAnsi="Calibri" w:cs="Calibri"/>
                <w:b w:val="0"/>
                <w:color w:val="000000"/>
                <w:spacing w:val="-4"/>
                <w:lang w:eastAsia="cs-CZ" w:bidi="ar-SA"/>
              </w:rPr>
              <w:t>z</w:t>
            </w:r>
            <w:r w:rsidR="007C02EF" w:rsidRPr="00906A50">
              <w:rPr>
                <w:rFonts w:ascii="Calibri" w:eastAsia="Times New Roman" w:hAnsi="Calibri" w:cs="Calibri"/>
                <w:b w:val="0"/>
                <w:color w:val="000000"/>
                <w:spacing w:val="-4"/>
                <w:lang w:eastAsia="cs-CZ" w:bidi="ar-SA"/>
              </w:rPr>
              <w:t xml:space="preserve">cela </w:t>
            </w:r>
            <w:r w:rsidR="00CA162A" w:rsidRPr="00906A50">
              <w:rPr>
                <w:rFonts w:ascii="Calibri" w:eastAsia="Times New Roman" w:hAnsi="Calibri" w:cs="Calibri"/>
                <w:b w:val="0"/>
                <w:color w:val="000000"/>
                <w:spacing w:val="-4"/>
                <w:lang w:eastAsia="cs-CZ" w:bidi="ar-SA"/>
              </w:rPr>
              <w:t xml:space="preserve">optimálně </w:t>
            </w:r>
            <w:r w:rsidR="007C02EF" w:rsidRPr="00906A50">
              <w:rPr>
                <w:rFonts w:ascii="Calibri" w:eastAsia="Times New Roman" w:hAnsi="Calibri" w:cs="Calibri"/>
                <w:b w:val="0"/>
                <w:color w:val="000000"/>
                <w:spacing w:val="-4"/>
                <w:lang w:eastAsia="cs-CZ" w:bidi="ar-SA"/>
              </w:rPr>
              <w:t xml:space="preserve">jsou </w:t>
            </w:r>
            <w:r w:rsidRPr="00906A50">
              <w:rPr>
                <w:rFonts w:ascii="Calibri" w:eastAsia="Times New Roman" w:hAnsi="Calibri" w:cs="Calibri"/>
                <w:b w:val="0"/>
                <w:color w:val="000000"/>
                <w:spacing w:val="-4"/>
                <w:lang w:eastAsia="cs-CZ" w:bidi="ar-SA"/>
              </w:rPr>
              <w:t xml:space="preserve">však </w:t>
            </w:r>
            <w:r w:rsidR="007C02EF" w:rsidRPr="00906A50">
              <w:rPr>
                <w:rFonts w:ascii="Calibri" w:eastAsia="Times New Roman" w:hAnsi="Calibri" w:cs="Calibri"/>
                <w:b w:val="0"/>
                <w:color w:val="000000"/>
                <w:spacing w:val="-4"/>
                <w:lang w:eastAsia="cs-CZ" w:bidi="ar-SA"/>
              </w:rPr>
              <w:t>monitorovány věcné parametry podpory</w:t>
            </w:r>
            <w:r w:rsidRPr="00906A50">
              <w:rPr>
                <w:rFonts w:ascii="Calibri" w:eastAsia="Times New Roman" w:hAnsi="Calibri" w:cs="Calibri"/>
                <w:b w:val="0"/>
                <w:color w:val="000000"/>
                <w:spacing w:val="-4"/>
                <w:lang w:eastAsia="cs-CZ" w:bidi="ar-SA"/>
              </w:rPr>
              <w:t>. Ani jeden z</w:t>
            </w:r>
            <w:r w:rsidR="00430CBB" w:rsidRPr="00906A50">
              <w:rPr>
                <w:rFonts w:ascii="Calibri" w:eastAsia="Times New Roman" w:hAnsi="Calibri" w:cs="Calibri"/>
                <w:b w:val="0"/>
                <w:color w:val="000000"/>
                <w:spacing w:val="-4"/>
                <w:lang w:eastAsia="cs-CZ" w:bidi="ar-SA"/>
              </w:rPr>
              <w:t> </w:t>
            </w:r>
            <w:r w:rsidR="007C02EF" w:rsidRPr="00906A50">
              <w:rPr>
                <w:rFonts w:ascii="Calibri" w:hAnsi="Calibri" w:cs="Calibri"/>
                <w:b w:val="0"/>
                <w:lang w:bidi="ar-SA"/>
              </w:rPr>
              <w:t>monitorovacích systémů (MS2014+, IS VaVaI) nesleduje u</w:t>
            </w:r>
            <w:r w:rsidR="00B767C6" w:rsidRPr="00906A50">
              <w:rPr>
                <w:rFonts w:ascii="Calibri" w:hAnsi="Calibri" w:cs="Calibri"/>
                <w:b w:val="0"/>
                <w:lang w:bidi="ar-SA"/>
              </w:rPr>
              <w:t> </w:t>
            </w:r>
            <w:r w:rsidR="007C02EF" w:rsidRPr="00906A50">
              <w:rPr>
                <w:rFonts w:ascii="Calibri" w:hAnsi="Calibri" w:cs="Calibri"/>
                <w:b w:val="0"/>
                <w:lang w:bidi="ar-SA"/>
              </w:rPr>
              <w:t xml:space="preserve">podpořených projektů, </w:t>
            </w:r>
            <w:r w:rsidR="007C02EF" w:rsidRPr="00906A50">
              <w:rPr>
                <w:rFonts w:ascii="Calibri" w:hAnsi="Calibri" w:cs="Calibri"/>
                <w:b w:val="0"/>
                <w:lang w:bidi="ar-SA"/>
              </w:rPr>
              <w:lastRenderedPageBreak/>
              <w:t>z jaké znalostní domény poznatky využívá, s jakou intenzitou a jaké efekty jejich přenos do aplikační praxe přináší.</w:t>
            </w:r>
          </w:p>
          <w:p w14:paraId="1C0C4A19" w14:textId="6F2D929D" w:rsidR="007C02EF" w:rsidRPr="00093A94" w:rsidRDefault="007C02EF" w:rsidP="00733364">
            <w:pPr>
              <w:spacing w:before="0" w:after="60" w:line="240" w:lineRule="auto"/>
              <w:rPr>
                <w:rFonts w:ascii="Calibri" w:hAnsi="Calibri" w:cs="Calibri"/>
                <w:b w:val="0"/>
              </w:rPr>
            </w:pPr>
            <w:r w:rsidRPr="00906A50">
              <w:rPr>
                <w:rFonts w:ascii="Calibri" w:hAnsi="Calibri" w:cs="Calibri"/>
                <w:b w:val="0"/>
                <w:lang w:bidi="ar-SA"/>
              </w:rPr>
              <w:t xml:space="preserve">Kvalitativní analýzu přínosů jednotlivých operačních programů k realizaci Národní RIS3 strategie nelze provést </w:t>
            </w:r>
            <w:r w:rsidR="00CA162A" w:rsidRPr="00906A50">
              <w:rPr>
                <w:rFonts w:ascii="Calibri" w:hAnsi="Calibri" w:cs="Calibri"/>
                <w:b w:val="0"/>
                <w:lang w:bidi="ar-SA"/>
              </w:rPr>
              <w:t xml:space="preserve">v dostatečném rozsahu </w:t>
            </w:r>
            <w:r w:rsidRPr="00906A50">
              <w:rPr>
                <w:rFonts w:ascii="Calibri" w:hAnsi="Calibri" w:cs="Calibri"/>
                <w:b w:val="0"/>
                <w:lang w:bidi="ar-SA"/>
              </w:rPr>
              <w:t xml:space="preserve">pro </w:t>
            </w:r>
            <w:r w:rsidR="00CA162A" w:rsidRPr="00906A50">
              <w:rPr>
                <w:rFonts w:ascii="Calibri" w:hAnsi="Calibri" w:cs="Calibri"/>
                <w:b w:val="0"/>
                <w:lang w:bidi="ar-SA"/>
              </w:rPr>
              <w:t xml:space="preserve">omezenou </w:t>
            </w:r>
            <w:r w:rsidRPr="00906A50">
              <w:rPr>
                <w:rFonts w:ascii="Calibri" w:hAnsi="Calibri" w:cs="Calibri"/>
                <w:b w:val="0"/>
                <w:lang w:bidi="ar-SA"/>
              </w:rPr>
              <w:t xml:space="preserve">dostupnost detailních dat o konkrétních projektech (přesné zacílení, </w:t>
            </w:r>
            <w:r w:rsidRPr="007E0F1F">
              <w:rPr>
                <w:rFonts w:ascii="Calibri" w:hAnsi="Calibri" w:cs="Calibri"/>
                <w:lang w:bidi="ar-SA"/>
              </w:rPr>
              <w:t>příslušnost ke znalostní doméně a</w:t>
            </w:r>
            <w:r w:rsidR="00F347D5" w:rsidRPr="007E0F1F">
              <w:rPr>
                <w:rFonts w:ascii="Calibri" w:hAnsi="Calibri" w:cs="Calibri"/>
                <w:lang w:bidi="ar-SA"/>
              </w:rPr>
              <w:t> </w:t>
            </w:r>
            <w:r w:rsidRPr="007E0F1F">
              <w:rPr>
                <w:rFonts w:ascii="Calibri" w:hAnsi="Calibri" w:cs="Calibri"/>
                <w:lang w:bidi="ar-SA"/>
              </w:rPr>
              <w:t>průnik aplikačního odvětví</w:t>
            </w:r>
            <w:r w:rsidRPr="00906A50">
              <w:rPr>
                <w:rFonts w:ascii="Calibri" w:hAnsi="Calibri" w:cs="Calibri"/>
                <w:b w:val="0"/>
                <w:lang w:bidi="ar-SA"/>
              </w:rPr>
              <w:t>).</w:t>
            </w:r>
            <w:r w:rsidR="00696D31" w:rsidRPr="00906A50">
              <w:rPr>
                <w:rFonts w:ascii="Calibri" w:hAnsi="Calibri" w:cs="Calibri"/>
                <w:b w:val="0"/>
                <w:lang w:bidi="ar-SA"/>
              </w:rPr>
              <w:t xml:space="preserve"> Zástupcům analytického týmu </w:t>
            </w:r>
            <w:r w:rsidR="00696D31" w:rsidRPr="007E0F1F">
              <w:rPr>
                <w:rFonts w:ascii="Calibri" w:hAnsi="Calibri" w:cs="Calibri"/>
                <w:lang w:bidi="ar-SA"/>
              </w:rPr>
              <w:t>není</w:t>
            </w:r>
            <w:r w:rsidR="00756519" w:rsidRPr="007E0F1F">
              <w:rPr>
                <w:rFonts w:ascii="Calibri" w:hAnsi="Calibri" w:cs="Calibri"/>
                <w:lang w:bidi="ar-SA"/>
              </w:rPr>
              <w:t xml:space="preserve"> v</w:t>
            </w:r>
            <w:r w:rsidR="00733364" w:rsidRPr="007E0F1F">
              <w:rPr>
                <w:rFonts w:ascii="Calibri" w:hAnsi="Calibri" w:cs="Calibri"/>
                <w:lang w:bidi="ar-SA"/>
              </w:rPr>
              <w:t> </w:t>
            </w:r>
            <w:r w:rsidR="00756519" w:rsidRPr="007E0F1F">
              <w:rPr>
                <w:rFonts w:ascii="Calibri" w:hAnsi="Calibri" w:cs="Calibri"/>
                <w:lang w:bidi="ar-SA"/>
              </w:rPr>
              <w:t>dostatečné míře zpřístupněn systém MS2014+</w:t>
            </w:r>
            <w:r w:rsidR="00696D31" w:rsidRPr="00906A50">
              <w:rPr>
                <w:rFonts w:ascii="Calibri" w:hAnsi="Calibri" w:cs="Calibri"/>
                <w:b w:val="0"/>
                <w:lang w:bidi="ar-SA"/>
              </w:rPr>
              <w:t>.</w:t>
            </w:r>
          </w:p>
        </w:tc>
        <w:tc>
          <w:tcPr>
            <w:tcW w:w="7229" w:type="dxa"/>
          </w:tcPr>
          <w:p w14:paraId="1E836292" w14:textId="77777777" w:rsidR="00696D31" w:rsidRPr="00093A94" w:rsidRDefault="00696D31" w:rsidP="009B65B9">
            <w:pPr>
              <w:pStyle w:val="Odstavecseseznamem"/>
              <w:numPr>
                <w:ilvl w:val="0"/>
                <w:numId w:val="38"/>
              </w:numPr>
              <w:spacing w:before="60" w:after="0" w:line="240" w:lineRule="auto"/>
              <w:ind w:left="318" w:hanging="284"/>
              <w:cnfStyle w:val="000000100000" w:firstRow="0" w:lastRow="0" w:firstColumn="0" w:lastColumn="0" w:oddVBand="0" w:evenVBand="0" w:oddHBand="1" w:evenHBand="0" w:firstRowFirstColumn="0" w:firstRowLastColumn="0" w:lastRowFirstColumn="0" w:lastRowLastColumn="0"/>
              <w:rPr>
                <w:rFonts w:ascii="Calibri" w:eastAsia="Geneva" w:hAnsi="Calibri"/>
                <w:bCs/>
                <w:iCs/>
              </w:rPr>
            </w:pPr>
            <w:r w:rsidRPr="00093A94">
              <w:rPr>
                <w:rFonts w:ascii="Calibri" w:eastAsia="Geneva" w:hAnsi="Calibri"/>
                <w:bCs/>
                <w:iCs/>
              </w:rPr>
              <w:lastRenderedPageBreak/>
              <w:t xml:space="preserve">umožnit zástupcům nositele Národní RIS3 strategie </w:t>
            </w:r>
            <w:r w:rsidRPr="00093A94">
              <w:rPr>
                <w:rFonts w:ascii="Calibri" w:eastAsia="Geneva" w:hAnsi="Calibri"/>
                <w:b/>
                <w:bCs/>
                <w:iCs/>
              </w:rPr>
              <w:t>aktivně se podílet na přípravě indikátorové soustavy pro nové programové období</w:t>
            </w:r>
            <w:r w:rsidRPr="00093A94">
              <w:rPr>
                <w:rFonts w:ascii="Calibri" w:eastAsia="Geneva" w:hAnsi="Calibri"/>
                <w:bCs/>
                <w:iCs/>
              </w:rPr>
              <w:t xml:space="preserve"> pod koordinací MMR-NOK</w:t>
            </w:r>
          </w:p>
          <w:p w14:paraId="31694B70" w14:textId="77777777" w:rsidR="00D55669" w:rsidRPr="00093A94" w:rsidRDefault="00696D31" w:rsidP="007A78B5">
            <w:pPr>
              <w:pStyle w:val="Odstavecseseznamem"/>
              <w:numPr>
                <w:ilvl w:val="0"/>
                <w:numId w:val="38"/>
              </w:numPr>
              <w:spacing w:before="0" w:after="0" w:line="240" w:lineRule="auto"/>
              <w:ind w:left="317" w:hanging="283"/>
              <w:cnfStyle w:val="000000100000" w:firstRow="0" w:lastRow="0" w:firstColumn="0" w:lastColumn="0" w:oddVBand="0" w:evenVBand="0" w:oddHBand="1" w:evenHBand="0" w:firstRowFirstColumn="0" w:firstRowLastColumn="0" w:lastRowFirstColumn="0" w:lastRowLastColumn="0"/>
              <w:rPr>
                <w:rFonts w:ascii="Calibri" w:eastAsia="Geneva" w:hAnsi="Calibri"/>
                <w:bCs/>
                <w:iCs/>
              </w:rPr>
            </w:pPr>
            <w:r w:rsidRPr="00093A94">
              <w:rPr>
                <w:rFonts w:ascii="Calibri" w:eastAsia="Geneva" w:hAnsi="Calibri"/>
                <w:bCs/>
                <w:iCs/>
              </w:rPr>
              <w:t xml:space="preserve">ze strany gestora problematiky ESIF (MMR-NOK) by měly být vyslyšeny </w:t>
            </w:r>
            <w:r w:rsidRPr="00093A94">
              <w:rPr>
                <w:rFonts w:ascii="Calibri" w:eastAsia="Geneva" w:hAnsi="Calibri"/>
                <w:b/>
                <w:bCs/>
                <w:iCs/>
              </w:rPr>
              <w:t>požadavky na úpravu MS2021+</w:t>
            </w:r>
            <w:r w:rsidRPr="00093A94">
              <w:rPr>
                <w:rFonts w:ascii="Calibri" w:eastAsia="Geneva" w:hAnsi="Calibri"/>
                <w:bCs/>
                <w:iCs/>
              </w:rPr>
              <w:t xml:space="preserve"> tak, aby tento systém </w:t>
            </w:r>
            <w:r w:rsidRPr="00093A94">
              <w:rPr>
                <w:rFonts w:ascii="Calibri" w:eastAsia="Geneva" w:hAnsi="Calibri"/>
                <w:b/>
                <w:bCs/>
                <w:iCs/>
              </w:rPr>
              <w:t>umožňoval agregovat data dle národních domén inteligentní specializace</w:t>
            </w:r>
            <w:r w:rsidRPr="00093A94">
              <w:rPr>
                <w:rFonts w:ascii="Calibri" w:eastAsia="Geneva" w:hAnsi="Calibri"/>
                <w:bCs/>
                <w:iCs/>
              </w:rPr>
              <w:t xml:space="preserve"> (znalostní domény, aplikační odvětví).</w:t>
            </w:r>
          </w:p>
        </w:tc>
      </w:tr>
      <w:tr w:rsidR="00D55669" w:rsidRPr="00093A94" w14:paraId="5ED4E071" w14:textId="77777777" w:rsidTr="00DF5949">
        <w:tc>
          <w:tcPr>
            <w:cnfStyle w:val="001000000000" w:firstRow="0" w:lastRow="0" w:firstColumn="1" w:lastColumn="0" w:oddVBand="0" w:evenVBand="0" w:oddHBand="0" w:evenHBand="0" w:firstRowFirstColumn="0" w:firstRowLastColumn="0" w:lastRowFirstColumn="0" w:lastRowLastColumn="0"/>
            <w:tcW w:w="6521" w:type="dxa"/>
          </w:tcPr>
          <w:p w14:paraId="5769304F" w14:textId="77777777" w:rsidR="00D55669" w:rsidRPr="00093A94" w:rsidRDefault="00D55669" w:rsidP="009B65B9">
            <w:pPr>
              <w:spacing w:before="60" w:after="120" w:line="240" w:lineRule="auto"/>
              <w:jc w:val="left"/>
              <w:rPr>
                <w:rFonts w:ascii="Calibri" w:hAnsi="Calibri" w:cstheme="majorHAnsi"/>
                <w:u w:val="single"/>
              </w:rPr>
            </w:pPr>
            <w:r w:rsidRPr="00093A94">
              <w:rPr>
                <w:rFonts w:ascii="Calibri" w:hAnsi="Calibri" w:cstheme="majorHAnsi"/>
                <w:u w:val="single"/>
              </w:rPr>
              <w:t>Soulad projektů s Národní RIS3 strategií</w:t>
            </w:r>
          </w:p>
          <w:p w14:paraId="796F3271" w14:textId="2E80E395" w:rsidR="00D55669" w:rsidRPr="00093A94" w:rsidRDefault="00D55669" w:rsidP="00671FEE">
            <w:pPr>
              <w:spacing w:before="0" w:after="60" w:line="240" w:lineRule="auto"/>
              <w:rPr>
                <w:rFonts w:ascii="Calibri" w:hAnsi="Calibri" w:cstheme="majorHAnsi"/>
                <w:b w:val="0"/>
              </w:rPr>
            </w:pPr>
            <w:r w:rsidRPr="00093A94">
              <w:rPr>
                <w:rFonts w:ascii="Calibri" w:eastAsia="Geneva" w:hAnsi="Calibri"/>
                <w:b w:val="0"/>
                <w:bCs w:val="0"/>
                <w:iCs/>
              </w:rPr>
              <w:t xml:space="preserve">Důsledkem </w:t>
            </w:r>
            <w:r w:rsidR="006136A7" w:rsidRPr="00093A94">
              <w:rPr>
                <w:rFonts w:ascii="Calibri" w:eastAsia="Geneva" w:hAnsi="Calibri"/>
                <w:b w:val="0"/>
                <w:bCs w:val="0"/>
                <w:iCs/>
              </w:rPr>
              <w:t>širšího zacílení</w:t>
            </w:r>
            <w:r w:rsidRPr="00093A94">
              <w:rPr>
                <w:rFonts w:ascii="Calibri" w:eastAsia="Geneva" w:hAnsi="Calibri"/>
                <w:b w:val="0"/>
                <w:bCs w:val="0"/>
                <w:iCs/>
              </w:rPr>
              <w:t xml:space="preserve"> strategie, </w:t>
            </w:r>
            <w:r w:rsidR="00052E40" w:rsidRPr="00093A94">
              <w:rPr>
                <w:rFonts w:ascii="Calibri" w:eastAsia="Geneva" w:hAnsi="Calibri"/>
                <w:b w:val="0"/>
                <w:bCs w:val="0"/>
                <w:iCs/>
              </w:rPr>
              <w:t xml:space="preserve"> může být to</w:t>
            </w:r>
            <w:r w:rsidRPr="00093A94">
              <w:rPr>
                <w:rFonts w:ascii="Calibri" w:eastAsia="Geneva" w:hAnsi="Calibri"/>
                <w:b w:val="0"/>
                <w:bCs w:val="0"/>
                <w:iCs/>
              </w:rPr>
              <w:t xml:space="preserve">, </w:t>
            </w:r>
            <w:r w:rsidR="00052E40" w:rsidRPr="00093A94">
              <w:rPr>
                <w:rFonts w:ascii="Calibri" w:eastAsia="Geneva" w:hAnsi="Calibri"/>
                <w:b w:val="0"/>
                <w:bCs w:val="0"/>
                <w:iCs/>
              </w:rPr>
              <w:t>že dojde k</w:t>
            </w:r>
            <w:r w:rsidR="00671FEE">
              <w:rPr>
                <w:rFonts w:ascii="Calibri" w:eastAsia="Geneva" w:hAnsi="Calibri"/>
                <w:b w:val="0"/>
                <w:bCs w:val="0"/>
                <w:iCs/>
              </w:rPr>
              <w:t> </w:t>
            </w:r>
            <w:r w:rsidR="00052E40" w:rsidRPr="00093A94">
              <w:rPr>
                <w:rFonts w:ascii="Calibri" w:eastAsia="Geneva" w:hAnsi="Calibri"/>
                <w:b w:val="0"/>
                <w:bCs w:val="0"/>
                <w:iCs/>
              </w:rPr>
              <w:t xml:space="preserve">podpoře projektů, které mají </w:t>
            </w:r>
            <w:r w:rsidR="00CA162A" w:rsidRPr="00093A94">
              <w:rPr>
                <w:rFonts w:ascii="Calibri" w:eastAsia="Geneva" w:hAnsi="Calibri"/>
                <w:bCs w:val="0"/>
                <w:iCs/>
              </w:rPr>
              <w:t xml:space="preserve"> omezený</w:t>
            </w:r>
            <w:r w:rsidRPr="00093A94">
              <w:rPr>
                <w:rFonts w:ascii="Calibri" w:eastAsia="Geneva" w:hAnsi="Calibri"/>
                <w:bCs w:val="0"/>
                <w:iCs/>
              </w:rPr>
              <w:t xml:space="preserve"> dopad na </w:t>
            </w:r>
            <w:r w:rsidR="00052E40" w:rsidRPr="00093A94">
              <w:rPr>
                <w:rFonts w:ascii="Calibri" w:eastAsia="Geneva" w:hAnsi="Calibri"/>
                <w:bCs w:val="0"/>
                <w:iCs/>
              </w:rPr>
              <w:t>naplnění cílů RIS3 strategie</w:t>
            </w:r>
            <w:r w:rsidRPr="00093A94">
              <w:rPr>
                <w:rFonts w:ascii="Calibri" w:eastAsia="Geneva" w:hAnsi="Calibri"/>
                <w:b w:val="0"/>
                <w:bCs w:val="0"/>
                <w:iCs/>
              </w:rPr>
              <w:t>.</w:t>
            </w:r>
          </w:p>
        </w:tc>
        <w:tc>
          <w:tcPr>
            <w:tcW w:w="7229" w:type="dxa"/>
          </w:tcPr>
          <w:p w14:paraId="39EF20E5" w14:textId="77777777" w:rsidR="00140906" w:rsidRPr="00093A94" w:rsidRDefault="00D55669" w:rsidP="009B65B9">
            <w:pPr>
              <w:pStyle w:val="Odstavecseseznamem"/>
              <w:numPr>
                <w:ilvl w:val="0"/>
                <w:numId w:val="37"/>
              </w:numPr>
              <w:spacing w:before="60" w:after="0" w:line="240" w:lineRule="auto"/>
              <w:ind w:left="318" w:hanging="284"/>
              <w:cnfStyle w:val="000000000000" w:firstRow="0" w:lastRow="0" w:firstColumn="0" w:lastColumn="0" w:oddVBand="0" w:evenVBand="0" w:oddHBand="0" w:evenHBand="0" w:firstRowFirstColumn="0" w:firstRowLastColumn="0" w:lastRowFirstColumn="0" w:lastRowLastColumn="0"/>
              <w:rPr>
                <w:rFonts w:ascii="Calibri" w:eastAsia="Geneva" w:hAnsi="Calibri"/>
                <w:bCs/>
                <w:iCs/>
              </w:rPr>
            </w:pPr>
            <w:r w:rsidRPr="00093A94">
              <w:rPr>
                <w:rFonts w:ascii="Calibri" w:eastAsia="Geneva" w:hAnsi="Calibri"/>
                <w:bCs/>
                <w:iCs/>
              </w:rPr>
              <w:t xml:space="preserve">ukotvit </w:t>
            </w:r>
            <w:r w:rsidRPr="00093A94">
              <w:rPr>
                <w:rFonts w:ascii="Calibri" w:eastAsia="Geneva" w:hAnsi="Calibri"/>
                <w:b/>
                <w:bCs/>
                <w:iCs/>
              </w:rPr>
              <w:t>bonifikaci</w:t>
            </w:r>
            <w:r w:rsidRPr="00093A94">
              <w:rPr>
                <w:rFonts w:ascii="Calibri" w:eastAsia="Geneva" w:hAnsi="Calibri"/>
                <w:bCs/>
                <w:iCs/>
              </w:rPr>
              <w:t xml:space="preserve"> projektů koordinovaně napříč </w:t>
            </w:r>
            <w:r w:rsidR="00140906" w:rsidRPr="00093A94">
              <w:rPr>
                <w:rFonts w:ascii="Calibri" w:eastAsia="Geneva" w:hAnsi="Calibri"/>
                <w:bCs/>
                <w:iCs/>
              </w:rPr>
              <w:t>nositeli dotačních programů</w:t>
            </w:r>
            <w:r w:rsidRPr="00093A94">
              <w:rPr>
                <w:rFonts w:ascii="Calibri" w:eastAsia="Geneva" w:hAnsi="Calibri"/>
                <w:bCs/>
                <w:iCs/>
              </w:rPr>
              <w:t xml:space="preserve"> </w:t>
            </w:r>
          </w:p>
          <w:p w14:paraId="25CDD72C" w14:textId="77777777" w:rsidR="00D55669" w:rsidRPr="00093A94" w:rsidRDefault="00140906" w:rsidP="007A78B5">
            <w:pPr>
              <w:pStyle w:val="Odstavecseseznamem"/>
              <w:numPr>
                <w:ilvl w:val="0"/>
                <w:numId w:val="37"/>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ascii="Calibri" w:eastAsia="Geneva" w:hAnsi="Calibri"/>
                <w:bCs/>
                <w:iCs/>
              </w:rPr>
            </w:pPr>
            <w:r w:rsidRPr="00093A94">
              <w:rPr>
                <w:rFonts w:ascii="Calibri" w:eastAsia="Geneva" w:hAnsi="Calibri"/>
                <w:bCs/>
                <w:iCs/>
              </w:rPr>
              <w:t>zavést</w:t>
            </w:r>
            <w:r w:rsidRPr="00093A94">
              <w:rPr>
                <w:rFonts w:ascii="Calibri" w:eastAsia="Geneva" w:hAnsi="Calibri"/>
                <w:b/>
                <w:bCs/>
                <w:iCs/>
              </w:rPr>
              <w:t xml:space="preserve"> </w:t>
            </w:r>
            <w:r w:rsidR="00D55669" w:rsidRPr="00093A94">
              <w:rPr>
                <w:rFonts w:ascii="Calibri" w:eastAsia="Geneva" w:hAnsi="Calibri"/>
                <w:b/>
                <w:bCs/>
                <w:iCs/>
              </w:rPr>
              <w:t>výrazn</w:t>
            </w:r>
            <w:r w:rsidRPr="00093A94">
              <w:rPr>
                <w:rFonts w:ascii="Calibri" w:eastAsia="Geneva" w:hAnsi="Calibri"/>
                <w:b/>
                <w:bCs/>
                <w:iCs/>
              </w:rPr>
              <w:t>ou</w:t>
            </w:r>
            <w:r w:rsidR="00D55669" w:rsidRPr="00093A94">
              <w:rPr>
                <w:rFonts w:ascii="Calibri" w:eastAsia="Geneva" w:hAnsi="Calibri"/>
                <w:b/>
                <w:bCs/>
                <w:iCs/>
              </w:rPr>
              <w:t xml:space="preserve"> bodov</w:t>
            </w:r>
            <w:r w:rsidRPr="00093A94">
              <w:rPr>
                <w:rFonts w:ascii="Calibri" w:eastAsia="Geneva" w:hAnsi="Calibri"/>
                <w:b/>
                <w:bCs/>
                <w:iCs/>
              </w:rPr>
              <w:t>ou</w:t>
            </w:r>
            <w:r w:rsidR="00D55669" w:rsidRPr="00093A94">
              <w:rPr>
                <w:rFonts w:ascii="Calibri" w:eastAsia="Geneva" w:hAnsi="Calibri"/>
                <w:b/>
                <w:bCs/>
                <w:iCs/>
              </w:rPr>
              <w:t xml:space="preserve"> preferenc</w:t>
            </w:r>
            <w:r w:rsidRPr="00093A94">
              <w:rPr>
                <w:rFonts w:ascii="Calibri" w:eastAsia="Geneva" w:hAnsi="Calibri"/>
                <w:b/>
                <w:bCs/>
                <w:iCs/>
              </w:rPr>
              <w:t>i</w:t>
            </w:r>
            <w:r w:rsidR="00D55669" w:rsidRPr="00093A94">
              <w:rPr>
                <w:rFonts w:ascii="Calibri" w:eastAsia="Geneva" w:hAnsi="Calibri"/>
                <w:bCs/>
                <w:iCs/>
              </w:rPr>
              <w:t xml:space="preserve"> projektů</w:t>
            </w:r>
            <w:r w:rsidR="006F1E70" w:rsidRPr="00093A94">
              <w:rPr>
                <w:rFonts w:ascii="Calibri" w:eastAsia="Geneva" w:hAnsi="Calibri"/>
                <w:bCs/>
                <w:iCs/>
              </w:rPr>
              <w:t xml:space="preserve"> zacílených do průniku identifikovaných domén národní znalostní specializace a národní ekonomické specializace a</w:t>
            </w:r>
            <w:r w:rsidR="00D55669" w:rsidRPr="00093A94">
              <w:rPr>
                <w:rFonts w:ascii="Calibri" w:eastAsia="Geneva" w:hAnsi="Calibri"/>
                <w:bCs/>
                <w:iCs/>
              </w:rPr>
              <w:t xml:space="preserve"> nahrazení binárního kritéria bodovým kritériem</w:t>
            </w:r>
          </w:p>
          <w:p w14:paraId="64C46EA0" w14:textId="73F76C99" w:rsidR="00D55669" w:rsidRPr="00093A94" w:rsidRDefault="007E0F1F" w:rsidP="007A78B5">
            <w:pPr>
              <w:spacing w:before="0" w:after="0" w:line="240" w:lineRule="auto"/>
              <w:cnfStyle w:val="000000000000" w:firstRow="0" w:lastRow="0" w:firstColumn="0" w:lastColumn="0" w:oddVBand="0" w:evenVBand="0" w:oddHBand="0" w:evenHBand="0" w:firstRowFirstColumn="0" w:firstRowLastColumn="0" w:lastRowFirstColumn="0" w:lastRowLastColumn="0"/>
              <w:rPr>
                <w:rFonts w:ascii="Calibri" w:eastAsia="Geneva" w:hAnsi="Calibri"/>
                <w:b/>
                <w:bCs/>
                <w:iCs/>
              </w:rPr>
            </w:pPr>
            <w:r>
              <w:rPr>
                <w:rFonts w:ascii="Calibri" w:eastAsia="Geneva" w:hAnsi="Calibri"/>
                <w:bCs/>
                <w:iCs/>
              </w:rPr>
              <w:t xml:space="preserve"> </w:t>
            </w:r>
          </w:p>
        </w:tc>
      </w:tr>
      <w:tr w:rsidR="002B14BB" w:rsidRPr="00093A94" w14:paraId="4C969C99" w14:textId="77777777" w:rsidTr="00DF59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1" w:type="dxa"/>
          </w:tcPr>
          <w:p w14:paraId="27B3339B" w14:textId="77777777" w:rsidR="002B14BB" w:rsidRPr="00093A94" w:rsidRDefault="00D55669" w:rsidP="009B65B9">
            <w:pPr>
              <w:spacing w:before="60" w:after="120" w:line="240" w:lineRule="auto"/>
              <w:jc w:val="left"/>
              <w:rPr>
                <w:rFonts w:ascii="Calibri" w:hAnsi="Calibri" w:cstheme="majorHAnsi"/>
                <w:u w:val="single"/>
              </w:rPr>
            </w:pPr>
            <w:r w:rsidRPr="00093A94">
              <w:rPr>
                <w:rFonts w:ascii="Calibri" w:hAnsi="Calibri" w:cstheme="majorHAnsi"/>
                <w:u w:val="single"/>
              </w:rPr>
              <w:t>Komunikace a prezentace významu Národní RIS3 strategie široké odborné veřejnosti</w:t>
            </w:r>
          </w:p>
          <w:p w14:paraId="20CF9202" w14:textId="77777777" w:rsidR="00DF3EC8" w:rsidRPr="00093A94" w:rsidRDefault="00DF3EC8" w:rsidP="002401D9">
            <w:pPr>
              <w:spacing w:before="0" w:after="0" w:line="240" w:lineRule="auto"/>
              <w:rPr>
                <w:rFonts w:ascii="Calibri" w:hAnsi="Calibri" w:cstheme="majorHAnsi"/>
                <w:b w:val="0"/>
              </w:rPr>
            </w:pPr>
            <w:r w:rsidRPr="00093A94">
              <w:rPr>
                <w:rFonts w:ascii="Calibri" w:hAnsi="Calibri" w:cstheme="majorHAnsi"/>
                <w:b w:val="0"/>
              </w:rPr>
              <w:t xml:space="preserve">Ačkoliv Národní RIS3 strategie má nezastupitelnou úlohu nejen v rozvoji inovačního potenciálu ČR, ale také </w:t>
            </w:r>
            <w:r w:rsidR="00266796" w:rsidRPr="00093A94">
              <w:rPr>
                <w:rFonts w:ascii="Calibri" w:hAnsi="Calibri" w:cstheme="majorHAnsi"/>
                <w:b w:val="0"/>
              </w:rPr>
              <w:t xml:space="preserve">ve vztahu k čerpání evropských dotací (ex-ante kondicionalita), tak </w:t>
            </w:r>
            <w:r w:rsidR="00266796" w:rsidRPr="00093A94">
              <w:rPr>
                <w:rFonts w:ascii="Calibri" w:hAnsi="Calibri" w:cstheme="majorHAnsi"/>
              </w:rPr>
              <w:t>povědomí o její existenci je velmi nízké</w:t>
            </w:r>
            <w:r w:rsidR="00266796" w:rsidRPr="00093A94">
              <w:rPr>
                <w:rFonts w:ascii="Calibri" w:hAnsi="Calibri" w:cstheme="majorHAnsi"/>
                <w:b w:val="0"/>
              </w:rPr>
              <w:t xml:space="preserve">, a to i mezi odbornou veřejností. </w:t>
            </w:r>
          </w:p>
          <w:p w14:paraId="56212241" w14:textId="77777777" w:rsidR="00266796" w:rsidRPr="00093A94" w:rsidRDefault="00266796" w:rsidP="00CA162A">
            <w:pPr>
              <w:spacing w:before="0" w:after="0" w:line="240" w:lineRule="auto"/>
              <w:rPr>
                <w:rFonts w:ascii="Calibri" w:hAnsi="Calibri" w:cstheme="majorHAnsi"/>
                <w:b w:val="0"/>
              </w:rPr>
            </w:pPr>
            <w:r w:rsidRPr="00093A94">
              <w:rPr>
                <w:rFonts w:ascii="Calibri" w:hAnsi="Calibri" w:cstheme="majorHAnsi"/>
              </w:rPr>
              <w:t>Nedocenění významu</w:t>
            </w:r>
            <w:r w:rsidRPr="00093A94">
              <w:rPr>
                <w:rFonts w:ascii="Calibri" w:hAnsi="Calibri" w:cstheme="majorHAnsi"/>
                <w:b w:val="0"/>
              </w:rPr>
              <w:t xml:space="preserve"> strategie se </w:t>
            </w:r>
            <w:r w:rsidRPr="00093A94">
              <w:rPr>
                <w:rFonts w:ascii="Calibri" w:hAnsi="Calibri" w:cstheme="majorHAnsi"/>
              </w:rPr>
              <w:t>negativně odráží</w:t>
            </w:r>
            <w:r w:rsidRPr="00093A94">
              <w:rPr>
                <w:rFonts w:ascii="Calibri" w:hAnsi="Calibri" w:cstheme="majorHAnsi"/>
                <w:b w:val="0"/>
              </w:rPr>
              <w:t xml:space="preserve"> mimo jiné v nízkém zájmu podnikatelské a výzkumné veřejnosti účastnit se aktivně EDP procesu</w:t>
            </w:r>
            <w:r w:rsidR="00CA162A" w:rsidRPr="00093A94">
              <w:rPr>
                <w:rFonts w:ascii="Calibri" w:hAnsi="Calibri" w:cstheme="majorHAnsi"/>
                <w:b w:val="0"/>
              </w:rPr>
              <w:t>.</w:t>
            </w:r>
            <w:r w:rsidRPr="00093A94">
              <w:rPr>
                <w:rFonts w:ascii="Calibri" w:hAnsi="Calibri" w:cstheme="majorHAnsi"/>
                <w:b w:val="0"/>
              </w:rPr>
              <w:t xml:space="preserve"> </w:t>
            </w:r>
          </w:p>
        </w:tc>
        <w:tc>
          <w:tcPr>
            <w:tcW w:w="7229" w:type="dxa"/>
          </w:tcPr>
          <w:p w14:paraId="502BF50C" w14:textId="77777777" w:rsidR="0057725F" w:rsidRPr="00093A94" w:rsidRDefault="0057725F" w:rsidP="009B65B9">
            <w:pPr>
              <w:pStyle w:val="Odstavecseseznamem"/>
              <w:numPr>
                <w:ilvl w:val="0"/>
                <w:numId w:val="40"/>
              </w:numPr>
              <w:spacing w:before="60" w:after="0" w:line="240" w:lineRule="auto"/>
              <w:ind w:left="318" w:hanging="284"/>
              <w:cnfStyle w:val="000000100000" w:firstRow="0" w:lastRow="0" w:firstColumn="0" w:lastColumn="0" w:oddVBand="0" w:evenVBand="0" w:oddHBand="1" w:evenHBand="0" w:firstRowFirstColumn="0" w:firstRowLastColumn="0" w:lastRowFirstColumn="0" w:lastRowLastColumn="0"/>
              <w:rPr>
                <w:rFonts w:ascii="Calibri" w:eastAsia="Geneva" w:hAnsi="Calibri"/>
                <w:bCs/>
                <w:iCs/>
              </w:rPr>
            </w:pPr>
            <w:r w:rsidRPr="00093A94">
              <w:rPr>
                <w:rFonts w:ascii="Calibri" w:eastAsia="Geneva" w:hAnsi="Calibri"/>
                <w:bCs/>
                <w:iCs/>
              </w:rPr>
              <w:t xml:space="preserve">průběžně vyjadřovat </w:t>
            </w:r>
            <w:r w:rsidRPr="00093A94">
              <w:rPr>
                <w:rFonts w:ascii="Calibri" w:eastAsia="Geneva" w:hAnsi="Calibri"/>
                <w:b/>
                <w:bCs/>
                <w:iCs/>
              </w:rPr>
              <w:t>politickou podporu</w:t>
            </w:r>
            <w:r w:rsidRPr="00093A94">
              <w:rPr>
                <w:rFonts w:ascii="Calibri" w:eastAsia="Geneva" w:hAnsi="Calibri"/>
                <w:bCs/>
                <w:iCs/>
              </w:rPr>
              <w:t xml:space="preserve"> Národní RIS3 strategii a to jak na úrovni národní politické reprezentace, tak na úrovni krajské politické reprezentace</w:t>
            </w:r>
          </w:p>
          <w:p w14:paraId="4164BA9B" w14:textId="77777777" w:rsidR="00266796" w:rsidRPr="00093A94" w:rsidRDefault="00793E11" w:rsidP="00793E11">
            <w:pPr>
              <w:pStyle w:val="Odstavecseseznamem"/>
              <w:numPr>
                <w:ilvl w:val="0"/>
                <w:numId w:val="40"/>
              </w:numPr>
              <w:spacing w:before="0" w:after="0" w:line="240" w:lineRule="auto"/>
              <w:ind w:left="317" w:hanging="283"/>
              <w:cnfStyle w:val="000000100000" w:firstRow="0" w:lastRow="0" w:firstColumn="0" w:lastColumn="0" w:oddVBand="0" w:evenVBand="0" w:oddHBand="1" w:evenHBand="0" w:firstRowFirstColumn="0" w:firstRowLastColumn="0" w:lastRowFirstColumn="0" w:lastRowLastColumn="0"/>
              <w:rPr>
                <w:rFonts w:ascii="Calibri" w:eastAsia="Geneva" w:hAnsi="Calibri"/>
                <w:bCs/>
                <w:iCs/>
              </w:rPr>
            </w:pPr>
            <w:r w:rsidRPr="00093A94">
              <w:rPr>
                <w:rFonts w:ascii="Calibri" w:eastAsia="Geneva" w:hAnsi="Calibri"/>
                <w:b/>
                <w:bCs/>
                <w:iCs/>
              </w:rPr>
              <w:t>propagace</w:t>
            </w:r>
            <w:r w:rsidRPr="00093A94">
              <w:rPr>
                <w:rFonts w:ascii="Calibri" w:eastAsia="Geneva" w:hAnsi="Calibri"/>
                <w:bCs/>
                <w:iCs/>
              </w:rPr>
              <w:t xml:space="preserve"> </w:t>
            </w:r>
            <w:r w:rsidRPr="00093A94">
              <w:rPr>
                <w:rFonts w:ascii="Calibri" w:eastAsia="Geneva" w:hAnsi="Calibri"/>
                <w:b/>
                <w:bCs/>
                <w:iCs/>
              </w:rPr>
              <w:t>a popularizace</w:t>
            </w:r>
            <w:r w:rsidRPr="00093A94">
              <w:rPr>
                <w:rFonts w:ascii="Calibri" w:eastAsia="Geneva" w:hAnsi="Calibri"/>
                <w:bCs/>
                <w:iCs/>
              </w:rPr>
              <w:t xml:space="preserve"> Národní RIS3 strategie - </w:t>
            </w:r>
            <w:r w:rsidR="00B176CC" w:rsidRPr="00093A94">
              <w:rPr>
                <w:rFonts w:ascii="Calibri" w:eastAsia="Geneva" w:hAnsi="Calibri"/>
                <w:bCs/>
                <w:iCs/>
              </w:rPr>
              <w:t xml:space="preserve">nastavit </w:t>
            </w:r>
            <w:r w:rsidR="00B176CC" w:rsidRPr="00093A94">
              <w:rPr>
                <w:rFonts w:ascii="Calibri" w:eastAsia="Geneva" w:hAnsi="Calibri"/>
                <w:b/>
                <w:bCs/>
                <w:iCs/>
              </w:rPr>
              <w:t>„komunikační strategii“</w:t>
            </w:r>
            <w:r w:rsidR="00B176CC" w:rsidRPr="00093A94">
              <w:rPr>
                <w:rFonts w:ascii="Calibri" w:eastAsia="Geneva" w:hAnsi="Calibri"/>
                <w:bCs/>
                <w:iCs/>
              </w:rPr>
              <w:t xml:space="preserve"> Národní RIS3 strategie </w:t>
            </w:r>
            <w:r w:rsidRPr="00093A94">
              <w:rPr>
                <w:rFonts w:ascii="Calibri" w:eastAsia="Geneva" w:hAnsi="Calibri"/>
                <w:bCs/>
                <w:iCs/>
              </w:rPr>
              <w:t>a</w:t>
            </w:r>
            <w:r w:rsidR="00B176CC" w:rsidRPr="00093A94">
              <w:rPr>
                <w:rFonts w:ascii="Calibri" w:eastAsia="Geneva" w:hAnsi="Calibri"/>
                <w:bCs/>
                <w:iCs/>
              </w:rPr>
              <w:t xml:space="preserve"> posunout </w:t>
            </w:r>
            <w:r w:rsidR="002401D9" w:rsidRPr="00093A94">
              <w:rPr>
                <w:rFonts w:ascii="Calibri" w:eastAsia="Geneva" w:hAnsi="Calibri"/>
                <w:bCs/>
                <w:iCs/>
              </w:rPr>
              <w:t>ji</w:t>
            </w:r>
            <w:r w:rsidR="00B176CC" w:rsidRPr="00093A94">
              <w:rPr>
                <w:rFonts w:ascii="Calibri" w:eastAsia="Geneva" w:hAnsi="Calibri"/>
                <w:bCs/>
                <w:iCs/>
              </w:rPr>
              <w:t xml:space="preserve"> do popředí zájmu, šířit informace o významu Národní RIS3 strategie ve veřejném prostoru, </w:t>
            </w:r>
            <w:r w:rsidRPr="00093A94">
              <w:rPr>
                <w:rFonts w:ascii="Calibri" w:eastAsia="Geneva" w:hAnsi="Calibri"/>
                <w:bCs/>
                <w:iCs/>
              </w:rPr>
              <w:t>PR aktivity, mediální kampaň, široká osvěta</w:t>
            </w:r>
          </w:p>
          <w:p w14:paraId="50579FB4" w14:textId="77777777" w:rsidR="00A94012" w:rsidRPr="00093A94" w:rsidRDefault="00266796" w:rsidP="009B65B9">
            <w:pPr>
              <w:pStyle w:val="Odstavecseseznamem"/>
              <w:numPr>
                <w:ilvl w:val="0"/>
                <w:numId w:val="40"/>
              </w:numPr>
              <w:spacing w:before="0" w:after="60" w:line="240" w:lineRule="auto"/>
              <w:ind w:left="318" w:hanging="284"/>
              <w:cnfStyle w:val="000000100000" w:firstRow="0" w:lastRow="0" w:firstColumn="0" w:lastColumn="0" w:oddVBand="0" w:evenVBand="0" w:oddHBand="1" w:evenHBand="0" w:firstRowFirstColumn="0" w:firstRowLastColumn="0" w:lastRowFirstColumn="0" w:lastRowLastColumn="0"/>
              <w:rPr>
                <w:rFonts w:ascii="Calibri" w:hAnsi="Calibri" w:cstheme="majorHAnsi"/>
              </w:rPr>
            </w:pPr>
            <w:r w:rsidRPr="00093A94">
              <w:rPr>
                <w:rFonts w:ascii="Calibri" w:eastAsia="Geneva" w:hAnsi="Calibri"/>
                <w:b/>
                <w:bCs/>
                <w:iCs/>
              </w:rPr>
              <w:t xml:space="preserve">zintenzivnit komunikaci </w:t>
            </w:r>
            <w:r w:rsidR="00B176CC" w:rsidRPr="00093A94">
              <w:rPr>
                <w:rFonts w:ascii="Calibri" w:eastAsia="Geneva" w:hAnsi="Calibri"/>
                <w:bCs/>
                <w:iCs/>
              </w:rPr>
              <w:t>s klíčovými stakeholdery (</w:t>
            </w:r>
            <w:r w:rsidRPr="00093A94">
              <w:rPr>
                <w:rFonts w:ascii="Calibri" w:eastAsia="Geneva" w:hAnsi="Calibri"/>
                <w:bCs/>
                <w:iCs/>
              </w:rPr>
              <w:t xml:space="preserve">s podnikateli v konkrétních průmyslových oborech, </w:t>
            </w:r>
            <w:r w:rsidR="00B176CC" w:rsidRPr="00093A94">
              <w:rPr>
                <w:rFonts w:ascii="Calibri" w:eastAsia="Geneva" w:hAnsi="Calibri"/>
                <w:bCs/>
                <w:iCs/>
              </w:rPr>
              <w:t xml:space="preserve">s vedením výzkumných institucí, ústavů apod.), </w:t>
            </w:r>
            <w:r w:rsidRPr="00093A94">
              <w:rPr>
                <w:rFonts w:ascii="Calibri" w:eastAsia="Geneva" w:hAnsi="Calibri"/>
                <w:bCs/>
                <w:iCs/>
              </w:rPr>
              <w:t>posílit</w:t>
            </w:r>
            <w:r w:rsidR="00B176CC" w:rsidRPr="00093A94">
              <w:rPr>
                <w:rFonts w:ascii="Calibri" w:eastAsia="Geneva" w:hAnsi="Calibri"/>
                <w:bCs/>
                <w:iCs/>
              </w:rPr>
              <w:t xml:space="preserve"> ko</w:t>
            </w:r>
            <w:r w:rsidR="00793E11" w:rsidRPr="00093A94">
              <w:rPr>
                <w:rFonts w:ascii="Calibri" w:eastAsia="Geneva" w:hAnsi="Calibri"/>
                <w:bCs/>
                <w:iCs/>
              </w:rPr>
              <w:t>munikaci s krajskými subjekty</w:t>
            </w:r>
          </w:p>
        </w:tc>
      </w:tr>
      <w:tr w:rsidR="002B14BB" w:rsidRPr="00093A94" w14:paraId="24800B96" w14:textId="77777777" w:rsidTr="00DF5949">
        <w:tc>
          <w:tcPr>
            <w:cnfStyle w:val="001000000000" w:firstRow="0" w:lastRow="0" w:firstColumn="1" w:lastColumn="0" w:oddVBand="0" w:evenVBand="0" w:oddHBand="0" w:evenHBand="0" w:firstRowFirstColumn="0" w:firstRowLastColumn="0" w:lastRowFirstColumn="0" w:lastRowLastColumn="0"/>
            <w:tcW w:w="6521" w:type="dxa"/>
          </w:tcPr>
          <w:p w14:paraId="49027C1D" w14:textId="77777777" w:rsidR="007D3E23" w:rsidRPr="00093A94" w:rsidRDefault="007D3E23" w:rsidP="009B65B9">
            <w:pPr>
              <w:spacing w:before="60" w:after="120" w:line="240" w:lineRule="auto"/>
              <w:jc w:val="left"/>
              <w:rPr>
                <w:rFonts w:ascii="Calibri" w:hAnsi="Calibri" w:cstheme="majorHAnsi"/>
                <w:u w:val="single"/>
              </w:rPr>
            </w:pPr>
            <w:r w:rsidRPr="00093A94">
              <w:rPr>
                <w:rFonts w:ascii="Calibri" w:hAnsi="Calibri" w:cstheme="majorHAnsi"/>
                <w:u w:val="single"/>
              </w:rPr>
              <w:t>Vzdělávací aktivity klíčových stakeholderů</w:t>
            </w:r>
          </w:p>
          <w:p w14:paraId="7F6038E7" w14:textId="2C089C0B" w:rsidR="002B14BB" w:rsidRPr="00093A94" w:rsidRDefault="007D3E23" w:rsidP="002401D9">
            <w:pPr>
              <w:spacing w:before="0" w:after="60" w:line="240" w:lineRule="auto"/>
              <w:rPr>
                <w:rFonts w:ascii="Calibri" w:hAnsi="Calibri" w:cstheme="majorHAnsi"/>
                <w:b w:val="0"/>
                <w:u w:val="single"/>
              </w:rPr>
            </w:pPr>
            <w:r w:rsidRPr="00093A94">
              <w:rPr>
                <w:rFonts w:ascii="Calibri" w:eastAsia="Geneva" w:hAnsi="Calibri"/>
                <w:bCs w:val="0"/>
                <w:iCs/>
              </w:rPr>
              <w:t>Nízké povědomí</w:t>
            </w:r>
            <w:r w:rsidRPr="00093A94">
              <w:rPr>
                <w:rFonts w:ascii="Calibri" w:eastAsia="Geneva" w:hAnsi="Calibri"/>
                <w:b w:val="0"/>
                <w:bCs w:val="0"/>
                <w:iCs/>
              </w:rPr>
              <w:t xml:space="preserve"> o existenci a obsahu Národní RIS3 strategie u</w:t>
            </w:r>
            <w:r w:rsidR="00E67379">
              <w:rPr>
                <w:rFonts w:ascii="Calibri" w:eastAsia="Geneva" w:hAnsi="Calibri"/>
                <w:b w:val="0"/>
                <w:bCs w:val="0"/>
                <w:iCs/>
              </w:rPr>
              <w:t> </w:t>
            </w:r>
            <w:r w:rsidRPr="00093A94">
              <w:rPr>
                <w:rFonts w:ascii="Calibri" w:eastAsia="Geneva" w:hAnsi="Calibri"/>
                <w:b w:val="0"/>
                <w:bCs w:val="0"/>
                <w:iCs/>
              </w:rPr>
              <w:t xml:space="preserve"> klíčových hráčů (žadatelé o podporu, hodnotitelé projektů, krajští stakeholdeři) </w:t>
            </w:r>
            <w:r w:rsidR="002401D9" w:rsidRPr="00093A94">
              <w:rPr>
                <w:rFonts w:ascii="Calibri" w:eastAsia="Geneva" w:hAnsi="Calibri"/>
                <w:b w:val="0"/>
                <w:bCs w:val="0"/>
                <w:iCs/>
              </w:rPr>
              <w:t>vytváří</w:t>
            </w:r>
            <w:r w:rsidRPr="00093A94">
              <w:rPr>
                <w:rFonts w:ascii="Calibri" w:eastAsia="Geneva" w:hAnsi="Calibri"/>
                <w:b w:val="0"/>
                <w:bCs w:val="0"/>
                <w:iCs/>
              </w:rPr>
              <w:t xml:space="preserve"> </w:t>
            </w:r>
            <w:r w:rsidRPr="00093A94">
              <w:rPr>
                <w:rFonts w:ascii="Calibri" w:eastAsia="Geneva" w:hAnsi="Calibri"/>
                <w:bCs w:val="0"/>
                <w:iCs/>
              </w:rPr>
              <w:t>potřebu vzdělávání</w:t>
            </w:r>
            <w:r w:rsidRPr="00093A94">
              <w:rPr>
                <w:rFonts w:ascii="Calibri" w:eastAsia="Geneva" w:hAnsi="Calibri"/>
                <w:b w:val="0"/>
                <w:bCs w:val="0"/>
                <w:iCs/>
              </w:rPr>
              <w:t xml:space="preserve"> v této problematice. Tematicky by se vzdělávání mělo zaměřit na účel a význam strategie </w:t>
            </w:r>
            <w:r w:rsidRPr="00093A94">
              <w:rPr>
                <w:rFonts w:ascii="Calibri" w:eastAsia="Geneva" w:hAnsi="Calibri"/>
                <w:b w:val="0"/>
                <w:bCs w:val="0"/>
                <w:iCs/>
              </w:rPr>
              <w:lastRenderedPageBreak/>
              <w:t xml:space="preserve">(její důležitost) a její věcný obsah (pochopení vazeb mezi cíli, znalostními doménami, aplikačními odvětvími), současně s uváděním konkrétních příkladů z praxe, na kterých lze ilustrovat soulad/nesoulad projektů s Národní RIS3 strategií. </w:t>
            </w:r>
          </w:p>
        </w:tc>
        <w:tc>
          <w:tcPr>
            <w:tcW w:w="7229" w:type="dxa"/>
          </w:tcPr>
          <w:p w14:paraId="2973E3FD" w14:textId="77777777" w:rsidR="007D3E23" w:rsidRPr="00093A94" w:rsidRDefault="00B176CC" w:rsidP="002401D9">
            <w:pPr>
              <w:pStyle w:val="Odstavecseseznamem"/>
              <w:numPr>
                <w:ilvl w:val="0"/>
                <w:numId w:val="41"/>
              </w:numPr>
              <w:spacing w:before="60" w:after="0" w:line="240" w:lineRule="auto"/>
              <w:ind w:left="318" w:hanging="284"/>
              <w:cnfStyle w:val="000000000000" w:firstRow="0" w:lastRow="0" w:firstColumn="0" w:lastColumn="0" w:oddVBand="0" w:evenVBand="0" w:oddHBand="0" w:evenHBand="0" w:firstRowFirstColumn="0" w:firstRowLastColumn="0" w:lastRowFirstColumn="0" w:lastRowLastColumn="0"/>
              <w:rPr>
                <w:rFonts w:ascii="Calibri" w:eastAsia="Geneva" w:hAnsi="Calibri"/>
                <w:bCs/>
                <w:iCs/>
              </w:rPr>
            </w:pPr>
            <w:r w:rsidRPr="00093A94">
              <w:rPr>
                <w:rFonts w:ascii="Calibri" w:eastAsia="Geneva" w:hAnsi="Calibri"/>
                <w:bCs/>
                <w:iCs/>
              </w:rPr>
              <w:lastRenderedPageBreak/>
              <w:t xml:space="preserve">semináře, workshopy a další </w:t>
            </w:r>
            <w:r w:rsidRPr="00093A94">
              <w:rPr>
                <w:rFonts w:ascii="Calibri" w:eastAsia="Geneva" w:hAnsi="Calibri"/>
                <w:b/>
                <w:bCs/>
                <w:iCs/>
              </w:rPr>
              <w:t>vzdělávací aktivity</w:t>
            </w:r>
            <w:r w:rsidRPr="00093A94">
              <w:rPr>
                <w:rFonts w:ascii="Calibri" w:eastAsia="Geneva" w:hAnsi="Calibri"/>
                <w:bCs/>
                <w:iCs/>
              </w:rPr>
              <w:t xml:space="preserve"> vedoucí ke zvýšení povědomí široké i odborné veřejnosti </w:t>
            </w:r>
            <w:r w:rsidR="002401D9" w:rsidRPr="00093A94">
              <w:rPr>
                <w:rFonts w:ascii="Calibri" w:eastAsia="Geneva" w:hAnsi="Calibri"/>
                <w:bCs/>
                <w:iCs/>
              </w:rPr>
              <w:t xml:space="preserve">(minimálně jako součást seminářů pro příjemce z OP a seminářů pro hodnotitelé projektů) </w:t>
            </w:r>
          </w:p>
          <w:p w14:paraId="5DFE344E" w14:textId="77777777" w:rsidR="007D3E23" w:rsidRPr="00093A94" w:rsidRDefault="00B176CC" w:rsidP="002401D9">
            <w:pPr>
              <w:pStyle w:val="Odstavecseseznamem"/>
              <w:numPr>
                <w:ilvl w:val="0"/>
                <w:numId w:val="41"/>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ascii="Calibri" w:eastAsia="Geneva" w:hAnsi="Calibri"/>
                <w:bCs/>
                <w:iCs/>
              </w:rPr>
            </w:pPr>
            <w:r w:rsidRPr="00093A94">
              <w:rPr>
                <w:rFonts w:ascii="Calibri" w:eastAsia="Geneva" w:hAnsi="Calibri"/>
                <w:bCs/>
                <w:iCs/>
              </w:rPr>
              <w:t xml:space="preserve">e-learning </w:t>
            </w:r>
          </w:p>
          <w:p w14:paraId="7C29748A" w14:textId="77777777" w:rsidR="007D3E23" w:rsidRPr="00093A94" w:rsidRDefault="00B176CC" w:rsidP="002401D9">
            <w:pPr>
              <w:pStyle w:val="Odstavecseseznamem"/>
              <w:numPr>
                <w:ilvl w:val="0"/>
                <w:numId w:val="41"/>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ascii="Calibri" w:eastAsia="Geneva" w:hAnsi="Calibri"/>
                <w:bCs/>
                <w:iCs/>
              </w:rPr>
            </w:pPr>
            <w:r w:rsidRPr="00093A94">
              <w:rPr>
                <w:rFonts w:ascii="Calibri" w:eastAsia="Geneva" w:hAnsi="Calibri"/>
                <w:bCs/>
                <w:iCs/>
              </w:rPr>
              <w:lastRenderedPageBreak/>
              <w:t>webové aplikace umožňující posoudit soulad projektu se strategií</w:t>
            </w:r>
            <w:r w:rsidR="007D3E23" w:rsidRPr="00093A94">
              <w:rPr>
                <w:rFonts w:ascii="Calibri" w:eastAsia="Geneva" w:hAnsi="Calibri"/>
                <w:bCs/>
                <w:iCs/>
              </w:rPr>
              <w:t xml:space="preserve">, </w:t>
            </w:r>
            <w:r w:rsidRPr="00093A94">
              <w:rPr>
                <w:rFonts w:ascii="Calibri" w:eastAsia="Geneva" w:hAnsi="Calibri"/>
                <w:bCs/>
                <w:iCs/>
              </w:rPr>
              <w:t xml:space="preserve">zpětná vazba předkladatelům projektů </w:t>
            </w:r>
          </w:p>
          <w:p w14:paraId="5D68DB06" w14:textId="77777777" w:rsidR="002B14BB" w:rsidRPr="00093A94" w:rsidRDefault="00B176CC" w:rsidP="002401D9">
            <w:pPr>
              <w:pStyle w:val="Odstavecseseznamem"/>
              <w:numPr>
                <w:ilvl w:val="0"/>
                <w:numId w:val="41"/>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ascii="Calibri" w:eastAsia="Geneva" w:hAnsi="Calibri"/>
                <w:bCs/>
                <w:iCs/>
              </w:rPr>
            </w:pPr>
            <w:r w:rsidRPr="00093A94">
              <w:rPr>
                <w:rFonts w:ascii="Calibri" w:eastAsia="Geneva" w:hAnsi="Calibri"/>
                <w:bCs/>
                <w:iCs/>
              </w:rPr>
              <w:t>prezentace dobré/špatné praxe</w:t>
            </w:r>
          </w:p>
          <w:p w14:paraId="1AA76FFD" w14:textId="77777777" w:rsidR="00B176CC" w:rsidRPr="00093A94" w:rsidRDefault="00B176CC" w:rsidP="002401D9">
            <w:pPr>
              <w:suppressAutoHyphens/>
              <w:autoSpaceDE w:val="0"/>
              <w:spacing w:after="120"/>
              <w:cnfStyle w:val="000000000000" w:firstRow="0" w:lastRow="0" w:firstColumn="0" w:lastColumn="0" w:oddVBand="0" w:evenVBand="0" w:oddHBand="0" w:evenHBand="0" w:firstRowFirstColumn="0" w:firstRowLastColumn="0" w:lastRowFirstColumn="0" w:lastRowLastColumn="0"/>
              <w:rPr>
                <w:rFonts w:ascii="Calibri" w:hAnsi="Calibri" w:cstheme="majorHAnsi"/>
              </w:rPr>
            </w:pPr>
          </w:p>
        </w:tc>
      </w:tr>
    </w:tbl>
    <w:p w14:paraId="5F4948B1" w14:textId="77777777" w:rsidR="009946A2" w:rsidRDefault="009946A2" w:rsidP="009946A2">
      <w:pPr>
        <w:suppressAutoHyphens/>
        <w:autoSpaceDE w:val="0"/>
        <w:spacing w:after="120"/>
        <w:rPr>
          <w:rFonts w:asciiTheme="majorHAnsi" w:eastAsia="Geneva" w:hAnsiTheme="majorHAnsi"/>
          <w:bCs/>
          <w:iCs/>
        </w:rPr>
      </w:pPr>
    </w:p>
    <w:p w14:paraId="197687EB" w14:textId="77777777" w:rsidR="009946A2" w:rsidRDefault="009946A2" w:rsidP="009946A2">
      <w:pPr>
        <w:suppressAutoHyphens/>
        <w:autoSpaceDE w:val="0"/>
        <w:spacing w:after="120"/>
        <w:rPr>
          <w:rFonts w:asciiTheme="majorHAnsi" w:eastAsia="Geneva" w:hAnsiTheme="majorHAnsi"/>
          <w:bCs/>
          <w:iCs/>
        </w:rPr>
      </w:pPr>
      <w:r>
        <w:rPr>
          <w:rFonts w:asciiTheme="majorHAnsi" w:eastAsia="Geneva" w:hAnsiTheme="majorHAnsi"/>
          <w:bCs/>
          <w:iCs/>
        </w:rPr>
        <w:t xml:space="preserve"> </w:t>
      </w:r>
    </w:p>
    <w:p w14:paraId="7348FF23" w14:textId="77777777" w:rsidR="00827CCC" w:rsidRDefault="00827CCC" w:rsidP="00827CCC">
      <w:pPr>
        <w:spacing w:before="0" w:after="0" w:line="240" w:lineRule="auto"/>
        <w:jc w:val="center"/>
      </w:pPr>
    </w:p>
    <w:p w14:paraId="5270C777" w14:textId="77777777" w:rsidR="009F53F1" w:rsidRDefault="009F53F1">
      <w:pPr>
        <w:spacing w:before="0" w:after="0" w:line="240" w:lineRule="auto"/>
        <w:jc w:val="left"/>
        <w:rPr>
          <w:rFonts w:asciiTheme="majorHAnsi" w:eastAsiaTheme="majorEastAsia" w:hAnsiTheme="majorHAnsi" w:cstheme="majorHAnsi"/>
          <w:bCs/>
          <w:color w:val="004B8D"/>
          <w:spacing w:val="0"/>
          <w:szCs w:val="26"/>
          <w:lang w:bidi="ar-SA"/>
        </w:rPr>
      </w:pPr>
    </w:p>
    <w:p w14:paraId="4BA113D8" w14:textId="77777777" w:rsidR="009F53F1" w:rsidRDefault="009F53F1">
      <w:pPr>
        <w:spacing w:before="0" w:after="0" w:line="240" w:lineRule="auto"/>
        <w:jc w:val="left"/>
        <w:rPr>
          <w:rFonts w:asciiTheme="majorHAnsi" w:eastAsiaTheme="majorEastAsia" w:hAnsiTheme="majorHAnsi" w:cstheme="majorHAnsi"/>
          <w:b/>
          <w:bCs/>
          <w:color w:val="004B8D"/>
          <w:spacing w:val="0"/>
          <w:sz w:val="32"/>
          <w:szCs w:val="32"/>
          <w:lang w:bidi="ar-SA"/>
        </w:rPr>
      </w:pPr>
      <w:r>
        <w:rPr>
          <w:rFonts w:asciiTheme="majorHAnsi" w:eastAsiaTheme="majorEastAsia" w:hAnsiTheme="majorHAnsi" w:cstheme="majorHAnsi"/>
          <w:color w:val="004B8D"/>
          <w:spacing w:val="0"/>
          <w:sz w:val="32"/>
          <w:szCs w:val="32"/>
          <w:lang w:bidi="ar-SA"/>
        </w:rPr>
        <w:br w:type="page"/>
      </w:r>
    </w:p>
    <w:p w14:paraId="7D8329B8" w14:textId="77777777" w:rsidR="00C81D5F" w:rsidRDefault="00C81D5F" w:rsidP="004A3282">
      <w:pPr>
        <w:pStyle w:val="Nadpis1"/>
        <w:numPr>
          <w:ilvl w:val="0"/>
          <w:numId w:val="0"/>
        </w:numPr>
        <w:pBdr>
          <w:top w:val="none" w:sz="0" w:space="0" w:color="auto"/>
          <w:left w:val="none" w:sz="0" w:space="0" w:color="auto"/>
        </w:pBdr>
        <w:rPr>
          <w:rFonts w:asciiTheme="majorHAnsi" w:eastAsiaTheme="majorEastAsia" w:hAnsiTheme="majorHAnsi" w:cstheme="majorHAnsi"/>
          <w:color w:val="004B8D"/>
          <w:spacing w:val="0"/>
          <w:sz w:val="32"/>
          <w:szCs w:val="32"/>
          <w:lang w:bidi="ar-SA"/>
        </w:rPr>
        <w:sectPr w:rsidR="00C81D5F" w:rsidSect="00C81D5F">
          <w:headerReference w:type="default" r:id="rId46"/>
          <w:footerReference w:type="default" r:id="rId47"/>
          <w:pgSz w:w="16838" w:h="11906" w:orient="landscape"/>
          <w:pgMar w:top="1558" w:right="1474" w:bottom="1276" w:left="1764" w:header="708" w:footer="708" w:gutter="0"/>
          <w:cols w:space="708"/>
          <w:docGrid w:linePitch="360"/>
        </w:sectPr>
      </w:pPr>
    </w:p>
    <w:p w14:paraId="2BE47965" w14:textId="77777777" w:rsidR="009F53F1" w:rsidRDefault="0049425C" w:rsidP="004A3282">
      <w:pPr>
        <w:pStyle w:val="Nadpis1"/>
        <w:numPr>
          <w:ilvl w:val="0"/>
          <w:numId w:val="0"/>
        </w:numPr>
        <w:pBdr>
          <w:top w:val="none" w:sz="0" w:space="0" w:color="auto"/>
          <w:left w:val="none" w:sz="0" w:space="0" w:color="auto"/>
        </w:pBdr>
        <w:rPr>
          <w:rFonts w:asciiTheme="majorHAnsi" w:eastAsiaTheme="majorEastAsia" w:hAnsiTheme="majorHAnsi" w:cstheme="majorHAnsi"/>
          <w:color w:val="004B8D"/>
          <w:spacing w:val="0"/>
          <w:sz w:val="32"/>
          <w:szCs w:val="32"/>
          <w:lang w:bidi="ar-SA"/>
        </w:rPr>
      </w:pPr>
      <w:bookmarkStart w:id="107" w:name="_Toc5626483"/>
      <w:r>
        <w:rPr>
          <w:rFonts w:asciiTheme="majorHAnsi" w:eastAsiaTheme="majorEastAsia" w:hAnsiTheme="majorHAnsi" w:cstheme="majorHAnsi"/>
          <w:color w:val="004B8D"/>
          <w:spacing w:val="0"/>
          <w:sz w:val="32"/>
          <w:szCs w:val="32"/>
          <w:lang w:bidi="ar-SA"/>
        </w:rPr>
        <w:lastRenderedPageBreak/>
        <w:t>8</w:t>
      </w:r>
      <w:r w:rsidR="009F53F1" w:rsidRPr="009F53F1">
        <w:rPr>
          <w:rFonts w:asciiTheme="majorHAnsi" w:eastAsiaTheme="majorEastAsia" w:hAnsiTheme="majorHAnsi" w:cstheme="majorHAnsi"/>
          <w:color w:val="004B8D"/>
          <w:spacing w:val="0"/>
          <w:sz w:val="32"/>
          <w:szCs w:val="32"/>
          <w:lang w:bidi="ar-SA"/>
        </w:rPr>
        <w:t>. Zdroje literatury a dat</w:t>
      </w:r>
      <w:bookmarkEnd w:id="107"/>
    </w:p>
    <w:p w14:paraId="7711F3C6" w14:textId="77777777" w:rsidR="004C7C79" w:rsidRDefault="004C7C79" w:rsidP="00735502">
      <w:pPr>
        <w:rPr>
          <w:rFonts w:cs="Arial"/>
        </w:rPr>
      </w:pPr>
      <w:bookmarkStart w:id="108" w:name="OLE_LINK2"/>
      <w:r>
        <w:t xml:space="preserve">Český statistický úřad. </w:t>
      </w:r>
      <w:hyperlink r:id="rId48" w:history="1">
        <w:r w:rsidRPr="00956070">
          <w:rPr>
            <w:rStyle w:val="Hypertextovodkaz"/>
          </w:rPr>
          <w:t>www.czso.cz</w:t>
        </w:r>
      </w:hyperlink>
    </w:p>
    <w:p w14:paraId="06C1FC34" w14:textId="77777777" w:rsidR="0055790F" w:rsidRDefault="004C7C79" w:rsidP="00735502">
      <w:pPr>
        <w:rPr>
          <w:rFonts w:cstheme="minorHAnsi"/>
        </w:rPr>
      </w:pPr>
      <w:r w:rsidRPr="00AD0A96">
        <w:rPr>
          <w:rFonts w:cs="Arial"/>
        </w:rPr>
        <w:t>EUROPEAN COMMISSION</w:t>
      </w:r>
      <w:r w:rsidRPr="00EE5273">
        <w:t xml:space="preserve"> </w:t>
      </w:r>
      <w:r w:rsidR="0055790F" w:rsidRPr="00EE5273">
        <w:t>(2010):</w:t>
      </w:r>
      <w:r w:rsidR="0055790F" w:rsidRPr="00EE5273">
        <w:rPr>
          <w:rFonts w:cstheme="minorHAnsi"/>
        </w:rPr>
        <w:t xml:space="preserve"> The Role of Community Research Policy in the Knowledge-based Economy.</w:t>
      </w:r>
    </w:p>
    <w:p w14:paraId="5AF50160" w14:textId="77777777" w:rsidR="00D23903" w:rsidRPr="00EE5273" w:rsidRDefault="004C7C79" w:rsidP="00735502">
      <w:pPr>
        <w:rPr>
          <w:rFonts w:cstheme="minorHAnsi"/>
        </w:rPr>
      </w:pPr>
      <w:r w:rsidRPr="00AD0A96">
        <w:rPr>
          <w:rFonts w:cs="Arial"/>
        </w:rPr>
        <w:t>EUROPEAN COMMISSION</w:t>
      </w:r>
      <w:r>
        <w:t xml:space="preserve"> </w:t>
      </w:r>
      <w:r w:rsidR="00D23903">
        <w:t>(2012</w:t>
      </w:r>
      <w:r w:rsidR="00D23903" w:rsidRPr="00EE5273">
        <w:t>):</w:t>
      </w:r>
      <w:r w:rsidR="00D23903" w:rsidRPr="00EE5273">
        <w:rPr>
          <w:rFonts w:cstheme="minorHAnsi"/>
        </w:rPr>
        <w:t xml:space="preserve"> </w:t>
      </w:r>
      <w:r w:rsidR="00D23903" w:rsidRPr="00D23903">
        <w:rPr>
          <w:rFonts w:cstheme="minorHAnsi"/>
          <w:szCs w:val="22"/>
        </w:rPr>
        <w:t>Economic Transformation Strategies Smart Specialisation Case Studies</w:t>
      </w:r>
      <w:r w:rsidR="00D23903">
        <w:rPr>
          <w:rFonts w:cstheme="minorHAnsi"/>
          <w:szCs w:val="22"/>
        </w:rPr>
        <w:t xml:space="preserve">. </w:t>
      </w:r>
      <w:r w:rsidR="00D23903" w:rsidRPr="00D23903">
        <w:rPr>
          <w:rFonts w:cstheme="minorHAnsi"/>
          <w:szCs w:val="22"/>
        </w:rPr>
        <w:t xml:space="preserve"> </w:t>
      </w:r>
    </w:p>
    <w:p w14:paraId="04429958" w14:textId="77777777" w:rsidR="004C7C79" w:rsidRDefault="004C7C79" w:rsidP="00735502">
      <w:pPr>
        <w:pStyle w:val="Textpoznpodarou"/>
        <w:spacing w:before="200" w:after="200" w:line="276" w:lineRule="auto"/>
        <w:rPr>
          <w:sz w:val="22"/>
          <w:szCs w:val="22"/>
        </w:rPr>
      </w:pPr>
      <w:r w:rsidRPr="004C7C79">
        <w:rPr>
          <w:rFonts w:cs="Arial"/>
          <w:sz w:val="22"/>
          <w:szCs w:val="22"/>
        </w:rPr>
        <w:t>EUROPEAN COMMISSION</w:t>
      </w:r>
      <w:r w:rsidRPr="004C7C79">
        <w:rPr>
          <w:sz w:val="22"/>
          <w:szCs w:val="22"/>
        </w:rPr>
        <w:t xml:space="preserve"> (2012):</w:t>
      </w:r>
      <w:r w:rsidRPr="004C7C79">
        <w:rPr>
          <w:rFonts w:cstheme="minorHAnsi"/>
          <w:sz w:val="22"/>
          <w:szCs w:val="22"/>
        </w:rPr>
        <w:t xml:space="preserve"> </w:t>
      </w:r>
      <w:r w:rsidRPr="004C7C79">
        <w:rPr>
          <w:sz w:val="22"/>
          <w:szCs w:val="22"/>
        </w:rPr>
        <w:t>Guide to Research and Innovation Strategies for Smart Specialisations (RIS 3)</w:t>
      </w:r>
      <w:r>
        <w:rPr>
          <w:sz w:val="22"/>
          <w:szCs w:val="22"/>
        </w:rPr>
        <w:t>.</w:t>
      </w:r>
    </w:p>
    <w:p w14:paraId="0A0173CD" w14:textId="77777777" w:rsidR="000C16B1" w:rsidRDefault="000C16B1" w:rsidP="00735502">
      <w:pPr>
        <w:pStyle w:val="Textpoznpodarou"/>
        <w:spacing w:before="200" w:after="200" w:line="276" w:lineRule="auto"/>
        <w:rPr>
          <w:sz w:val="21"/>
          <w:szCs w:val="21"/>
        </w:rPr>
      </w:pPr>
      <w:r w:rsidRPr="004C7C79">
        <w:rPr>
          <w:rFonts w:cs="Arial"/>
          <w:sz w:val="22"/>
          <w:szCs w:val="22"/>
        </w:rPr>
        <w:t>EUROPEAN COMMISSION</w:t>
      </w:r>
      <w:r w:rsidRPr="004C7C79">
        <w:rPr>
          <w:sz w:val="22"/>
          <w:szCs w:val="22"/>
        </w:rPr>
        <w:t xml:space="preserve"> (201</w:t>
      </w:r>
      <w:r>
        <w:rPr>
          <w:sz w:val="22"/>
          <w:szCs w:val="22"/>
        </w:rPr>
        <w:t>6</w:t>
      </w:r>
      <w:r w:rsidRPr="004C7C79">
        <w:rPr>
          <w:sz w:val="22"/>
          <w:szCs w:val="22"/>
        </w:rPr>
        <w:t>):</w:t>
      </w:r>
      <w:r>
        <w:t xml:space="preserve"> </w:t>
      </w:r>
      <w:hyperlink r:id="rId49" w:history="1">
        <w:r w:rsidRPr="000C16B1">
          <w:rPr>
            <w:rStyle w:val="Hypertextovodkaz"/>
            <w:color w:val="000000" w:themeColor="text1"/>
            <w:sz w:val="22"/>
            <w:szCs w:val="22"/>
            <w:u w:val="none"/>
          </w:rPr>
          <w:t>Smart Stories, Implementing Smart Specialisation across Europe</w:t>
        </w:r>
      </w:hyperlink>
      <w:r>
        <w:rPr>
          <w:rStyle w:val="Hypertextovodkaz"/>
          <w:color w:val="000000" w:themeColor="text1"/>
          <w:sz w:val="22"/>
          <w:szCs w:val="22"/>
          <w:u w:val="none"/>
        </w:rPr>
        <w:t>.</w:t>
      </w:r>
      <w:r w:rsidRPr="000C16B1">
        <w:rPr>
          <w:sz w:val="22"/>
          <w:szCs w:val="22"/>
        </w:rPr>
        <w:t xml:space="preserve"> </w:t>
      </w:r>
    </w:p>
    <w:p w14:paraId="74C4471A" w14:textId="77777777" w:rsidR="000C16B1" w:rsidRPr="000C16B1" w:rsidRDefault="000C16B1" w:rsidP="00735502">
      <w:pPr>
        <w:pStyle w:val="Textpoznpodarou"/>
        <w:spacing w:before="200" w:after="200" w:line="276" w:lineRule="auto"/>
        <w:rPr>
          <w:sz w:val="22"/>
          <w:szCs w:val="22"/>
        </w:rPr>
      </w:pPr>
      <w:r w:rsidRPr="004C7C79">
        <w:rPr>
          <w:rFonts w:cs="Arial"/>
          <w:sz w:val="22"/>
          <w:szCs w:val="22"/>
        </w:rPr>
        <w:t>EUROPEAN COMMISSION</w:t>
      </w:r>
      <w:r w:rsidRPr="004C7C79">
        <w:rPr>
          <w:sz w:val="22"/>
          <w:szCs w:val="22"/>
        </w:rPr>
        <w:t xml:space="preserve"> (201</w:t>
      </w:r>
      <w:r>
        <w:rPr>
          <w:sz w:val="22"/>
          <w:szCs w:val="22"/>
        </w:rPr>
        <w:t>6</w:t>
      </w:r>
      <w:r w:rsidRPr="004C7C79">
        <w:rPr>
          <w:sz w:val="22"/>
          <w:szCs w:val="22"/>
        </w:rPr>
        <w:t>):</w:t>
      </w:r>
      <w:r>
        <w:t xml:space="preserve"> </w:t>
      </w:r>
      <w:r w:rsidRPr="000C16B1">
        <w:rPr>
          <w:sz w:val="22"/>
          <w:szCs w:val="22"/>
        </w:rPr>
        <w:t>Implementing Smart Speci</w:t>
      </w:r>
      <w:r>
        <w:rPr>
          <w:sz w:val="22"/>
          <w:szCs w:val="22"/>
        </w:rPr>
        <w:t>alisation Strategies – Handbook.</w:t>
      </w:r>
    </w:p>
    <w:p w14:paraId="28E8A32A" w14:textId="77777777" w:rsidR="004C7C79" w:rsidRPr="004C7C79" w:rsidRDefault="004C7C79" w:rsidP="00735502">
      <w:pPr>
        <w:pStyle w:val="Textpoznpodarou"/>
        <w:spacing w:before="200" w:after="200" w:line="276" w:lineRule="auto"/>
        <w:rPr>
          <w:sz w:val="22"/>
          <w:szCs w:val="22"/>
        </w:rPr>
      </w:pPr>
      <w:r w:rsidRPr="004C7C79">
        <w:rPr>
          <w:sz w:val="22"/>
          <w:szCs w:val="22"/>
        </w:rPr>
        <w:t>F</w:t>
      </w:r>
      <w:r>
        <w:rPr>
          <w:sz w:val="22"/>
          <w:szCs w:val="22"/>
        </w:rPr>
        <w:t>ORAY</w:t>
      </w:r>
      <w:r w:rsidRPr="004C7C79">
        <w:rPr>
          <w:sz w:val="22"/>
          <w:szCs w:val="22"/>
        </w:rPr>
        <w:t>, D.</w:t>
      </w:r>
      <w:r>
        <w:rPr>
          <w:sz w:val="22"/>
          <w:szCs w:val="22"/>
        </w:rPr>
        <w:t xml:space="preserve"> (2015)</w:t>
      </w:r>
      <w:r w:rsidRPr="004C7C79">
        <w:rPr>
          <w:sz w:val="22"/>
          <w:szCs w:val="22"/>
        </w:rPr>
        <w:t>: Smart Specialisation. Opportunities and challenges for regional inovation policy</w:t>
      </w:r>
      <w:r>
        <w:rPr>
          <w:sz w:val="22"/>
          <w:szCs w:val="22"/>
        </w:rPr>
        <w:t>.</w:t>
      </w:r>
    </w:p>
    <w:p w14:paraId="7FC83954" w14:textId="77777777" w:rsidR="000C16B1" w:rsidRDefault="000C16B1" w:rsidP="00735502">
      <w:pPr>
        <w:pStyle w:val="Textpoznpodarou"/>
        <w:spacing w:before="200" w:after="200" w:line="276" w:lineRule="auto"/>
        <w:rPr>
          <w:sz w:val="22"/>
          <w:szCs w:val="22"/>
        </w:rPr>
      </w:pPr>
      <w:r w:rsidRPr="004C7C79">
        <w:rPr>
          <w:sz w:val="22"/>
          <w:szCs w:val="22"/>
        </w:rPr>
        <w:t>F</w:t>
      </w:r>
      <w:r>
        <w:rPr>
          <w:sz w:val="22"/>
          <w:szCs w:val="22"/>
        </w:rPr>
        <w:t>ORAY</w:t>
      </w:r>
      <w:r w:rsidRPr="004C7C79">
        <w:rPr>
          <w:sz w:val="22"/>
          <w:szCs w:val="22"/>
        </w:rPr>
        <w:t>, D.</w:t>
      </w:r>
      <w:r>
        <w:rPr>
          <w:sz w:val="22"/>
          <w:szCs w:val="22"/>
        </w:rPr>
        <w:t xml:space="preserve"> (2014)</w:t>
      </w:r>
      <w:r w:rsidRPr="004C7C79">
        <w:rPr>
          <w:sz w:val="22"/>
          <w:szCs w:val="22"/>
        </w:rPr>
        <w:t xml:space="preserve">: </w:t>
      </w:r>
      <w:r w:rsidRPr="000C16B1">
        <w:rPr>
          <w:sz w:val="22"/>
          <w:szCs w:val="22"/>
        </w:rPr>
        <w:t>Defining the entrepreneurial discovery process in the RIS3 framework; Pisa workshop</w:t>
      </w:r>
      <w:r>
        <w:rPr>
          <w:sz w:val="22"/>
          <w:szCs w:val="22"/>
        </w:rPr>
        <w:t>.</w:t>
      </w:r>
    </w:p>
    <w:p w14:paraId="3F4C38C3" w14:textId="77777777" w:rsidR="00D23903" w:rsidRDefault="00D23903" w:rsidP="00735502">
      <w:pPr>
        <w:pStyle w:val="Textpoznpodarou"/>
        <w:spacing w:before="200" w:after="200" w:line="276" w:lineRule="auto"/>
        <w:rPr>
          <w:sz w:val="22"/>
          <w:szCs w:val="22"/>
        </w:rPr>
      </w:pPr>
      <w:r w:rsidRPr="00D23903">
        <w:rPr>
          <w:sz w:val="22"/>
          <w:szCs w:val="22"/>
        </w:rPr>
        <w:t>H</w:t>
      </w:r>
      <w:r>
        <w:rPr>
          <w:sz w:val="22"/>
          <w:szCs w:val="22"/>
        </w:rPr>
        <w:t>AHN</w:t>
      </w:r>
      <w:r w:rsidRPr="00D23903">
        <w:rPr>
          <w:sz w:val="22"/>
          <w:szCs w:val="22"/>
        </w:rPr>
        <w:t>,</w:t>
      </w:r>
      <w:r>
        <w:rPr>
          <w:sz w:val="22"/>
          <w:szCs w:val="22"/>
        </w:rPr>
        <w:t xml:space="preserve"> </w:t>
      </w:r>
      <w:r w:rsidRPr="00D23903">
        <w:rPr>
          <w:sz w:val="22"/>
          <w:szCs w:val="22"/>
        </w:rPr>
        <w:t>J</w:t>
      </w:r>
      <w:r>
        <w:rPr>
          <w:sz w:val="22"/>
          <w:szCs w:val="22"/>
        </w:rPr>
        <w:t xml:space="preserve">. (2014): </w:t>
      </w:r>
      <w:r w:rsidRPr="00D23903">
        <w:rPr>
          <w:sz w:val="22"/>
          <w:szCs w:val="22"/>
        </w:rPr>
        <w:t xml:space="preserve">Smart Specialisation and Europe’s Growth Agenda </w:t>
      </w:r>
    </w:p>
    <w:p w14:paraId="6A2A6462" w14:textId="77777777" w:rsidR="00735502" w:rsidRPr="00735502" w:rsidRDefault="00735502" w:rsidP="00735502">
      <w:pPr>
        <w:pStyle w:val="Textpoznpodarou"/>
        <w:spacing w:before="200" w:after="200" w:line="276" w:lineRule="auto"/>
        <w:rPr>
          <w:sz w:val="22"/>
          <w:szCs w:val="22"/>
        </w:rPr>
      </w:pPr>
      <w:r w:rsidRPr="00735502">
        <w:rPr>
          <w:rFonts w:asciiTheme="majorHAnsi" w:eastAsia="Geneva" w:hAnsiTheme="majorHAnsi"/>
          <w:bCs/>
          <w:iCs/>
          <w:sz w:val="22"/>
          <w:szCs w:val="22"/>
        </w:rPr>
        <w:t>HL. M. PRAHA (2016): Posouzení souladu projektu s Národní RIS3 strategií a Regionální inovační strategií hl. m. Prahy</w:t>
      </w:r>
    </w:p>
    <w:p w14:paraId="7759F1BE" w14:textId="77777777" w:rsidR="0055790F" w:rsidRDefault="0055790F" w:rsidP="00735502">
      <w:pPr>
        <w:pStyle w:val="Textkomente"/>
        <w:spacing w:line="276" w:lineRule="auto"/>
        <w:rPr>
          <w:rFonts w:cs="Arial"/>
          <w:szCs w:val="22"/>
        </w:rPr>
      </w:pPr>
      <w:r w:rsidRPr="00AD0A96">
        <w:rPr>
          <w:rFonts w:cs="Arial"/>
          <w:szCs w:val="22"/>
        </w:rPr>
        <w:t>SDĚLENÍ KOMISE EVROPSKÉMU PARLAMENTU, RADĚ, EVROPSKÉMU HOSPODÁŘSKÉMU A SOCIÁLNÍMU VÝBORU A VÝBORU REGIONŮ, „Evropská strategie pro klíčové technologie – cesta k růstu a zaměstnanosti“, Brusel, COM (2012) 341final.</w:t>
      </w:r>
    </w:p>
    <w:p w14:paraId="509C06AD" w14:textId="77777777" w:rsidR="004C7C79" w:rsidRPr="00092EC1" w:rsidRDefault="004C7C79" w:rsidP="00735502">
      <w:pPr>
        <w:pStyle w:val="Textpoznpodarou"/>
        <w:spacing w:before="200" w:after="200" w:line="276" w:lineRule="auto"/>
        <w:rPr>
          <w:rFonts w:cs="Calibri"/>
          <w:szCs w:val="18"/>
        </w:rPr>
      </w:pPr>
      <w:r w:rsidRPr="00AD0A96">
        <w:rPr>
          <w:rFonts w:cs="Arial"/>
          <w:sz w:val="22"/>
          <w:szCs w:val="22"/>
        </w:rPr>
        <w:t>SDĚLENÍ KOMISE EVROPSKÉMU PARLAMENTU, RADĚ, EVROPSKÉMU HOSPODÁŘSKÉMU A SOCIÁLNÍMU VÝBORU A VÝBORU REGIONŮ</w:t>
      </w:r>
      <w:r>
        <w:rPr>
          <w:rFonts w:cs="Arial"/>
          <w:sz w:val="22"/>
          <w:szCs w:val="22"/>
        </w:rPr>
        <w:t>,</w:t>
      </w:r>
      <w:r w:rsidRPr="00092EC1">
        <w:rPr>
          <w:rFonts w:cs="Calibri"/>
          <w:szCs w:val="18"/>
        </w:rPr>
        <w:t xml:space="preserve"> </w:t>
      </w:r>
      <w:r w:rsidRPr="004C7C79">
        <w:rPr>
          <w:rFonts w:cs="Calibri"/>
          <w:bCs/>
          <w:sz w:val="22"/>
          <w:szCs w:val="22"/>
        </w:rPr>
        <w:t>„Příprava na budoucnost: vývoj společné strategie pro klíčové technologie v EU“,</w:t>
      </w:r>
      <w:r>
        <w:rPr>
          <w:rFonts w:cs="Calibri"/>
          <w:bCs/>
          <w:szCs w:val="18"/>
        </w:rPr>
        <w:t xml:space="preserve"> </w:t>
      </w:r>
      <w:r w:rsidRPr="00AD0A96">
        <w:rPr>
          <w:rFonts w:cs="Arial"/>
          <w:sz w:val="22"/>
          <w:szCs w:val="22"/>
        </w:rPr>
        <w:t>Brusel, COM (20</w:t>
      </w:r>
      <w:r>
        <w:rPr>
          <w:rFonts w:cs="Arial"/>
          <w:sz w:val="22"/>
          <w:szCs w:val="22"/>
        </w:rPr>
        <w:t>09</w:t>
      </w:r>
      <w:r w:rsidRPr="00AD0A96">
        <w:rPr>
          <w:rFonts w:cs="Arial"/>
          <w:sz w:val="22"/>
          <w:szCs w:val="22"/>
        </w:rPr>
        <w:t xml:space="preserve">) </w:t>
      </w:r>
      <w:r>
        <w:rPr>
          <w:rFonts w:cs="Arial"/>
          <w:sz w:val="22"/>
          <w:szCs w:val="22"/>
        </w:rPr>
        <w:t>512</w:t>
      </w:r>
      <w:r w:rsidRPr="00AD0A96">
        <w:rPr>
          <w:rFonts w:cs="Arial"/>
          <w:sz w:val="22"/>
          <w:szCs w:val="22"/>
        </w:rPr>
        <w:t>final.</w:t>
      </w:r>
    </w:p>
    <w:p w14:paraId="0CB8F00B" w14:textId="77777777" w:rsidR="004C7C79" w:rsidRDefault="004C7C79" w:rsidP="00735502">
      <w:pPr>
        <w:pStyle w:val="Textpoznpodarou"/>
        <w:spacing w:before="200" w:after="200" w:line="276" w:lineRule="auto"/>
        <w:rPr>
          <w:rFonts w:cs="Arial"/>
          <w:sz w:val="22"/>
          <w:szCs w:val="22"/>
        </w:rPr>
      </w:pPr>
      <w:r w:rsidRPr="00AD0A96">
        <w:rPr>
          <w:rFonts w:cs="Arial"/>
          <w:sz w:val="22"/>
          <w:szCs w:val="22"/>
        </w:rPr>
        <w:t>SDĚLENÍ KOMISE EVROPSKÉMU PARLAMENTU, RADĚ, EVROPSKÉMU HOSPODÁŘSKÉMU A SOCIÁLNÍMU VÝBORU A VÝBORU REGIONŮ</w:t>
      </w:r>
      <w:r>
        <w:rPr>
          <w:rFonts w:cs="Arial"/>
          <w:sz w:val="22"/>
          <w:szCs w:val="22"/>
        </w:rPr>
        <w:t>,</w:t>
      </w:r>
      <w:r w:rsidRPr="00092EC1">
        <w:rPr>
          <w:rFonts w:cs="Calibri"/>
          <w:szCs w:val="18"/>
        </w:rPr>
        <w:t xml:space="preserve"> </w:t>
      </w:r>
      <w:r w:rsidRPr="004C7C79">
        <w:rPr>
          <w:rFonts w:cs="Calibri"/>
          <w:bCs/>
          <w:sz w:val="22"/>
          <w:szCs w:val="22"/>
        </w:rPr>
        <w:t>„</w:t>
      </w:r>
      <w:r w:rsidRPr="004C7C79">
        <w:rPr>
          <w:sz w:val="22"/>
          <w:szCs w:val="22"/>
        </w:rPr>
        <w:t>Za obnovu evropského průmyslu</w:t>
      </w:r>
      <w:r w:rsidRPr="004C7C79">
        <w:rPr>
          <w:rFonts w:cs="Calibri"/>
          <w:bCs/>
          <w:sz w:val="22"/>
          <w:szCs w:val="22"/>
        </w:rPr>
        <w:t>“,</w:t>
      </w:r>
      <w:r>
        <w:rPr>
          <w:rFonts w:cs="Calibri"/>
          <w:bCs/>
          <w:szCs w:val="18"/>
        </w:rPr>
        <w:t xml:space="preserve"> </w:t>
      </w:r>
      <w:r w:rsidRPr="00AD0A96">
        <w:rPr>
          <w:rFonts w:cs="Arial"/>
          <w:sz w:val="22"/>
          <w:szCs w:val="22"/>
        </w:rPr>
        <w:t>Brusel, COM (20</w:t>
      </w:r>
      <w:r>
        <w:rPr>
          <w:rFonts w:cs="Arial"/>
          <w:sz w:val="22"/>
          <w:szCs w:val="22"/>
        </w:rPr>
        <w:t>14</w:t>
      </w:r>
      <w:r w:rsidRPr="00AD0A96">
        <w:rPr>
          <w:rFonts w:cs="Arial"/>
          <w:sz w:val="22"/>
          <w:szCs w:val="22"/>
        </w:rPr>
        <w:t xml:space="preserve">) </w:t>
      </w:r>
      <w:r>
        <w:rPr>
          <w:rFonts w:cs="Arial"/>
          <w:sz w:val="22"/>
          <w:szCs w:val="22"/>
        </w:rPr>
        <w:t>14</w:t>
      </w:r>
      <w:r w:rsidRPr="00AD0A96">
        <w:rPr>
          <w:rFonts w:cs="Arial"/>
          <w:sz w:val="22"/>
          <w:szCs w:val="22"/>
        </w:rPr>
        <w:t>final.</w:t>
      </w:r>
    </w:p>
    <w:p w14:paraId="2DDD9DA1" w14:textId="77777777" w:rsidR="00D32462" w:rsidRDefault="00D32462" w:rsidP="00735502">
      <w:pPr>
        <w:pStyle w:val="Textpoznpodarou"/>
        <w:spacing w:before="200" w:after="200" w:line="276" w:lineRule="auto"/>
        <w:rPr>
          <w:rFonts w:cs="Arial"/>
          <w:sz w:val="22"/>
          <w:szCs w:val="22"/>
        </w:rPr>
      </w:pPr>
      <w:r w:rsidRPr="00AD0A96">
        <w:rPr>
          <w:rFonts w:cs="Arial"/>
          <w:sz w:val="22"/>
          <w:szCs w:val="22"/>
        </w:rPr>
        <w:t>SDĚLENÍ KOMISE EVROPSKÉMU PARLAMENTU, RADĚ, EVROPSKÉMU HOSPODÁŘSKÉMU A SOCIÁLNÍMU VÝBORU A VÝBORU REGIONŮ</w:t>
      </w:r>
      <w:r>
        <w:rPr>
          <w:rFonts w:cs="Arial"/>
          <w:sz w:val="22"/>
          <w:szCs w:val="22"/>
        </w:rPr>
        <w:t>,</w:t>
      </w:r>
      <w:r w:rsidRPr="00092EC1">
        <w:rPr>
          <w:rFonts w:cs="Calibri"/>
          <w:szCs w:val="18"/>
        </w:rPr>
        <w:t xml:space="preserve"> </w:t>
      </w:r>
      <w:r w:rsidRPr="004C7C79">
        <w:rPr>
          <w:rFonts w:cs="Calibri"/>
          <w:bCs/>
          <w:sz w:val="22"/>
          <w:szCs w:val="22"/>
        </w:rPr>
        <w:t>„</w:t>
      </w:r>
      <w:r>
        <w:rPr>
          <w:sz w:val="22"/>
          <w:szCs w:val="22"/>
        </w:rPr>
        <w:t>Přezkum inovační politiky Společenství v měnícím se světě</w:t>
      </w:r>
      <w:r w:rsidRPr="004C7C79">
        <w:rPr>
          <w:rFonts w:cs="Calibri"/>
          <w:bCs/>
          <w:sz w:val="22"/>
          <w:szCs w:val="22"/>
        </w:rPr>
        <w:t>“,</w:t>
      </w:r>
      <w:r>
        <w:rPr>
          <w:rFonts w:cs="Calibri"/>
          <w:bCs/>
          <w:szCs w:val="18"/>
        </w:rPr>
        <w:t xml:space="preserve"> </w:t>
      </w:r>
      <w:r w:rsidRPr="00AD0A96">
        <w:rPr>
          <w:rFonts w:cs="Arial"/>
          <w:sz w:val="22"/>
          <w:szCs w:val="22"/>
        </w:rPr>
        <w:t>Brusel, COM (20</w:t>
      </w:r>
      <w:r>
        <w:rPr>
          <w:rFonts w:cs="Arial"/>
          <w:sz w:val="22"/>
          <w:szCs w:val="22"/>
        </w:rPr>
        <w:t>09</w:t>
      </w:r>
      <w:r w:rsidRPr="00AD0A96">
        <w:rPr>
          <w:rFonts w:cs="Arial"/>
          <w:sz w:val="22"/>
          <w:szCs w:val="22"/>
        </w:rPr>
        <w:t xml:space="preserve">) </w:t>
      </w:r>
      <w:r>
        <w:rPr>
          <w:rFonts w:cs="Arial"/>
          <w:sz w:val="22"/>
          <w:szCs w:val="22"/>
        </w:rPr>
        <w:t>442fi</w:t>
      </w:r>
      <w:r w:rsidRPr="00AD0A96">
        <w:rPr>
          <w:rFonts w:cs="Arial"/>
          <w:sz w:val="22"/>
          <w:szCs w:val="22"/>
        </w:rPr>
        <w:t>nal.</w:t>
      </w:r>
    </w:p>
    <w:p w14:paraId="29F4F5D8" w14:textId="77777777" w:rsidR="00D23903" w:rsidRDefault="00D23903" w:rsidP="00735502">
      <w:r>
        <w:t>MPO (2018): Zpráva o realizaci Národní RIS3 strategie.</w:t>
      </w:r>
    </w:p>
    <w:p w14:paraId="35881678" w14:textId="77777777" w:rsidR="00D23903" w:rsidRDefault="00D23903" w:rsidP="00735502">
      <w:r>
        <w:t>MPO (2019): Národní RIS3 strategie 2014 – 2020 (aktualizace 2018).</w:t>
      </w:r>
    </w:p>
    <w:p w14:paraId="40D2B982" w14:textId="77777777" w:rsidR="00735502" w:rsidRDefault="00735502" w:rsidP="00735502">
      <w:r>
        <w:rPr>
          <w:rFonts w:asciiTheme="majorHAnsi" w:eastAsia="Geneva" w:hAnsiTheme="majorHAnsi"/>
          <w:bCs/>
          <w:iCs/>
        </w:rPr>
        <w:lastRenderedPageBreak/>
        <w:t>MPO (2016): Podkladový materiál pro implementaci RIS3 strategie v Operačním programu Podnikání a inovace pro konkurenceschopnost 2014-2020.</w:t>
      </w:r>
    </w:p>
    <w:p w14:paraId="6F2387BE" w14:textId="77777777" w:rsidR="000C16B1" w:rsidRDefault="000C16B1" w:rsidP="00735502">
      <w:pPr>
        <w:pStyle w:val="Textpoznpodarou"/>
        <w:spacing w:before="200" w:after="200" w:line="276" w:lineRule="auto"/>
        <w:rPr>
          <w:sz w:val="22"/>
          <w:szCs w:val="22"/>
        </w:rPr>
      </w:pPr>
      <w:r>
        <w:rPr>
          <w:sz w:val="22"/>
          <w:szCs w:val="22"/>
        </w:rPr>
        <w:t xml:space="preserve">MŠMT (2018): </w:t>
      </w:r>
      <w:r w:rsidRPr="000C16B1">
        <w:rPr>
          <w:sz w:val="22"/>
          <w:szCs w:val="22"/>
        </w:rPr>
        <w:t xml:space="preserve">Prezentace z kulatého stolu </w:t>
      </w:r>
      <w:r w:rsidRPr="000C16B1">
        <w:rPr>
          <w:bCs/>
          <w:sz w:val="22"/>
          <w:szCs w:val="22"/>
        </w:rPr>
        <w:t>k podpoře regionálních inovačních systémů prostřednictvím výzvy Smart Akcelerátor I. a II.</w:t>
      </w:r>
      <w:r w:rsidRPr="000C16B1">
        <w:rPr>
          <w:b/>
          <w:bCs/>
          <w:sz w:val="22"/>
          <w:szCs w:val="22"/>
        </w:rPr>
        <w:t xml:space="preserve"> </w:t>
      </w:r>
      <w:r w:rsidRPr="000C16B1">
        <w:rPr>
          <w:sz w:val="22"/>
          <w:szCs w:val="22"/>
        </w:rPr>
        <w:t>realizovaného dne 1. 2. 2018</w:t>
      </w:r>
    </w:p>
    <w:p w14:paraId="411B63DB" w14:textId="77777777" w:rsidR="00735502" w:rsidRDefault="00735502" w:rsidP="00735502">
      <w:pPr>
        <w:pStyle w:val="Textpoznpodarou"/>
        <w:spacing w:before="200" w:after="200" w:line="276" w:lineRule="auto"/>
        <w:rPr>
          <w:sz w:val="22"/>
          <w:szCs w:val="22"/>
        </w:rPr>
      </w:pPr>
      <w:r w:rsidRPr="00735502">
        <w:rPr>
          <w:sz w:val="22"/>
          <w:szCs w:val="22"/>
        </w:rPr>
        <w:t>MŠMT (2016): Koncepční přístup ŘO OP VVV k implementaci RIS3 Národní strategie</w:t>
      </w:r>
      <w:r>
        <w:rPr>
          <w:sz w:val="22"/>
          <w:szCs w:val="22"/>
        </w:rPr>
        <w:t>.</w:t>
      </w:r>
    </w:p>
    <w:p w14:paraId="52D2AEAF" w14:textId="77777777" w:rsidR="00735502" w:rsidRPr="00735502" w:rsidRDefault="00735502" w:rsidP="00735502">
      <w:pPr>
        <w:pStyle w:val="Textpoznpodarou"/>
        <w:spacing w:before="200" w:after="200" w:line="276" w:lineRule="auto"/>
        <w:rPr>
          <w:sz w:val="22"/>
          <w:szCs w:val="22"/>
        </w:rPr>
      </w:pPr>
      <w:r w:rsidRPr="00735502">
        <w:rPr>
          <w:rFonts w:asciiTheme="majorHAnsi" w:eastAsia="Geneva" w:hAnsiTheme="majorHAnsi"/>
          <w:bCs/>
          <w:iCs/>
          <w:sz w:val="22"/>
          <w:szCs w:val="22"/>
        </w:rPr>
        <w:t>MŠMT (2016): Podkladový materiál pro implementaci RIS3 strategie.</w:t>
      </w:r>
    </w:p>
    <w:p w14:paraId="77845F84" w14:textId="77777777" w:rsidR="00D23903" w:rsidRPr="00EE5273" w:rsidRDefault="00D23903" w:rsidP="00735502">
      <w:pPr>
        <w:rPr>
          <w:rFonts w:cstheme="minorHAnsi"/>
        </w:rPr>
      </w:pPr>
      <w:r>
        <w:t>Úřad vlády České republiky (2016): Národní RIS3 strategie 2014 – 2020.</w:t>
      </w:r>
    </w:p>
    <w:p w14:paraId="2C513308" w14:textId="77777777" w:rsidR="0055790F" w:rsidRPr="00EE5273" w:rsidRDefault="0055790F" w:rsidP="00735502">
      <w:pPr>
        <w:jc w:val="left"/>
        <w:rPr>
          <w:rFonts w:cstheme="minorHAnsi"/>
        </w:rPr>
      </w:pPr>
      <w:r>
        <w:rPr>
          <w:rFonts w:cstheme="minorHAnsi"/>
        </w:rPr>
        <w:t xml:space="preserve">Úřad vlády České republiky </w:t>
      </w:r>
      <w:r w:rsidRPr="00EE5273">
        <w:rPr>
          <w:rFonts w:cstheme="minorHAnsi"/>
        </w:rPr>
        <w:t>(2009): Národní politika výzkumu, vývoje a inovací ČR na léta 2009-2015</w:t>
      </w:r>
      <w:r w:rsidR="003A4BBD">
        <w:rPr>
          <w:rFonts w:cstheme="minorHAnsi"/>
        </w:rPr>
        <w:t xml:space="preserve"> </w:t>
      </w:r>
    </w:p>
    <w:p w14:paraId="421F78EC" w14:textId="77777777" w:rsidR="003A4BBD" w:rsidRDefault="0055790F" w:rsidP="00735502">
      <w:pPr>
        <w:rPr>
          <w:rFonts w:cstheme="minorHAnsi"/>
        </w:rPr>
      </w:pPr>
      <w:r w:rsidRPr="00EE5273">
        <w:rPr>
          <w:rFonts w:cstheme="minorHAnsi"/>
        </w:rPr>
        <w:t xml:space="preserve">Úřad vlády České republiky (2016): Národní politika výzkumu, vývoje a inovací České republiky na léta 2016-2020 </w:t>
      </w:r>
    </w:p>
    <w:p w14:paraId="4C6EC65B" w14:textId="77777777" w:rsidR="0055790F" w:rsidRPr="00EE5273" w:rsidRDefault="0055790F" w:rsidP="00735502">
      <w:pPr>
        <w:rPr>
          <w:rFonts w:cstheme="minorHAnsi"/>
        </w:rPr>
      </w:pPr>
      <w:r w:rsidRPr="00EE5273">
        <w:rPr>
          <w:rFonts w:cstheme="majorHAnsi"/>
        </w:rPr>
        <w:t xml:space="preserve">Úřad vlády České republiky (2012): </w:t>
      </w:r>
      <w:r w:rsidRPr="00EE5273">
        <w:rPr>
          <w:rFonts w:cstheme="minorHAnsi"/>
        </w:rPr>
        <w:t>Národní priority orientovaného výzkumu, experimentálního vývoje a</w:t>
      </w:r>
      <w:r>
        <w:rPr>
          <w:rFonts w:cstheme="minorHAnsi"/>
        </w:rPr>
        <w:t> </w:t>
      </w:r>
      <w:r w:rsidRPr="00EE5273">
        <w:rPr>
          <w:rFonts w:cstheme="minorHAnsi"/>
        </w:rPr>
        <w:t>inovací</w:t>
      </w:r>
      <w:r w:rsidR="003A4BBD">
        <w:rPr>
          <w:rFonts w:cstheme="minorHAnsi"/>
        </w:rPr>
        <w:t xml:space="preserve">. </w:t>
      </w:r>
    </w:p>
    <w:p w14:paraId="50BC7BFB" w14:textId="77777777" w:rsidR="0055790F" w:rsidRPr="00EE5273" w:rsidRDefault="0055790F" w:rsidP="00735502">
      <w:pPr>
        <w:rPr>
          <w:rFonts w:cstheme="minorHAnsi"/>
        </w:rPr>
      </w:pPr>
      <w:r w:rsidRPr="00EE5273">
        <w:rPr>
          <w:rFonts w:cstheme="majorHAnsi"/>
        </w:rPr>
        <w:t xml:space="preserve">Úřad vlády České republiky: </w:t>
      </w:r>
      <w:r w:rsidRPr="00EE5273">
        <w:rPr>
          <w:rFonts w:cstheme="minorHAnsi"/>
        </w:rPr>
        <w:t xml:space="preserve">Aktualizace Národní politiky výzkumu, vývoje a inovací České republiky na léta 2009 až 2015 s výhledem do roku 2020. </w:t>
      </w:r>
    </w:p>
    <w:bookmarkEnd w:id="108"/>
    <w:p w14:paraId="69ED2DBD" w14:textId="77777777" w:rsidR="00534FB7" w:rsidRDefault="00E51828" w:rsidP="00735502">
      <w:pPr>
        <w:rPr>
          <w:rFonts w:asciiTheme="majorHAnsi" w:eastAsiaTheme="majorEastAsia" w:hAnsiTheme="majorHAnsi" w:cstheme="majorHAnsi"/>
          <w:b/>
          <w:bCs/>
          <w:color w:val="004B8D"/>
          <w:spacing w:val="0"/>
          <w:sz w:val="32"/>
          <w:szCs w:val="32"/>
          <w:lang w:bidi="ar-SA"/>
        </w:rPr>
      </w:pPr>
      <w:r>
        <w:rPr>
          <w:lang w:bidi="ar-SA"/>
        </w:rPr>
        <w:t>Ostatní: dokumentace 14 krajů (krajská příloha Národní RIS3 strategie, Regionální inovační strategie, Pololetní zpráva k 30. 6. 2018 a další).</w:t>
      </w:r>
    </w:p>
    <w:p w14:paraId="4B009888" w14:textId="77777777" w:rsidR="001A2E56" w:rsidRDefault="001A2E56" w:rsidP="001A2E56">
      <w:pPr>
        <w:rPr>
          <w:lang w:bidi="ar-SA"/>
        </w:rPr>
      </w:pPr>
    </w:p>
    <w:p w14:paraId="70E87052" w14:textId="77777777" w:rsidR="001A2E56" w:rsidRDefault="001A2E56" w:rsidP="001A2E56">
      <w:pPr>
        <w:rPr>
          <w:lang w:bidi="ar-SA"/>
        </w:rPr>
      </w:pPr>
    </w:p>
    <w:p w14:paraId="2029EE9B" w14:textId="77777777" w:rsidR="001A2E56" w:rsidRDefault="001A2E56" w:rsidP="001A2E56">
      <w:pPr>
        <w:rPr>
          <w:lang w:bidi="ar-SA"/>
        </w:rPr>
      </w:pPr>
    </w:p>
    <w:p w14:paraId="03B36AAF" w14:textId="77777777" w:rsidR="001A2E56" w:rsidRDefault="001A2E56" w:rsidP="001A2E56">
      <w:pPr>
        <w:rPr>
          <w:lang w:bidi="ar-SA"/>
        </w:rPr>
      </w:pPr>
    </w:p>
    <w:p w14:paraId="15105BCC" w14:textId="77777777" w:rsidR="001A2E56" w:rsidRDefault="001A2E56" w:rsidP="001A2E56">
      <w:pPr>
        <w:rPr>
          <w:lang w:bidi="ar-SA"/>
        </w:rPr>
      </w:pPr>
    </w:p>
    <w:p w14:paraId="2F9E58A2" w14:textId="77777777" w:rsidR="00534FB7" w:rsidRDefault="00534FB7" w:rsidP="001A2E56">
      <w:pPr>
        <w:rPr>
          <w:lang w:bidi="ar-SA"/>
        </w:rPr>
      </w:pPr>
    </w:p>
    <w:p w14:paraId="68BB092E" w14:textId="77777777" w:rsidR="00534FB7" w:rsidRDefault="00534FB7" w:rsidP="00266C86">
      <w:pPr>
        <w:rPr>
          <w:lang w:bidi="ar-SA"/>
        </w:rPr>
      </w:pPr>
    </w:p>
    <w:sectPr w:rsidR="00534FB7" w:rsidSect="008566B9">
      <w:pgSz w:w="11906" w:h="16838"/>
      <w:pgMar w:top="1764" w:right="1558" w:bottom="147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5E5F9B" w14:textId="77777777" w:rsidR="009B14C0" w:rsidRDefault="009B14C0" w:rsidP="00AF1713">
      <w:pPr>
        <w:spacing w:before="0" w:after="0" w:line="240" w:lineRule="auto"/>
      </w:pPr>
      <w:r>
        <w:separator/>
      </w:r>
    </w:p>
  </w:endnote>
  <w:endnote w:type="continuationSeparator" w:id="0">
    <w:p w14:paraId="680282BE" w14:textId="77777777" w:rsidR="009B14C0" w:rsidRDefault="009B14C0" w:rsidP="00AF171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eneva">
    <w:charset w:val="00"/>
    <w:family w:val="swiss"/>
    <w:pitch w:val="variable"/>
    <w:sig w:usb0="E00002FF" w:usb1="5200205F" w:usb2="00A0C000" w:usb3="00000000" w:csb0="0000019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Dynamo RE CE">
    <w:altName w:val="Times New Roman"/>
    <w:charset w:val="00"/>
    <w:family w:val="auto"/>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Times New Roman Gras 0117200">
    <w:altName w:val="Times New Roman"/>
    <w:charset w:val="00"/>
    <w:family w:val="roman"/>
    <w:pitch w:val="variable"/>
    <w:sig w:usb0="E0002AEF" w:usb1="C0007841" w:usb2="00000009" w:usb3="00000000" w:csb0="000001FF" w:csb1="00000000"/>
  </w:font>
  <w:font w:name="ヒラギノ角ゴ Pro W3">
    <w:charset w:val="80"/>
    <w:family w:val="swiss"/>
    <w:pitch w:val="variable"/>
    <w:sig w:usb0="E00002FF" w:usb1="7AC7FFFF" w:usb2="00000012" w:usb3="00000000" w:csb0="0002000D"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Arial-Italic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194278"/>
      <w:docPartObj>
        <w:docPartGallery w:val="Page Numbers (Bottom of Page)"/>
        <w:docPartUnique/>
      </w:docPartObj>
    </w:sdtPr>
    <w:sdtEndPr/>
    <w:sdtContent>
      <w:p w14:paraId="327FAC4D" w14:textId="77777777" w:rsidR="00170EBC" w:rsidRDefault="00170EBC">
        <w:pPr>
          <w:pStyle w:val="Zpat"/>
          <w:jc w:val="right"/>
        </w:pPr>
        <w:r>
          <w:rPr>
            <w:noProof/>
          </w:rPr>
          <w:fldChar w:fldCharType="begin"/>
        </w:r>
        <w:r>
          <w:rPr>
            <w:noProof/>
          </w:rPr>
          <w:instrText xml:space="preserve"> PAGE   \* MERGEFORMAT </w:instrText>
        </w:r>
        <w:r>
          <w:rPr>
            <w:noProof/>
          </w:rPr>
          <w:fldChar w:fldCharType="separate"/>
        </w:r>
        <w:r w:rsidR="00864781">
          <w:rPr>
            <w:noProof/>
          </w:rPr>
          <w:t>21</w:t>
        </w:r>
        <w:r>
          <w:rPr>
            <w:noProof/>
          </w:rPr>
          <w:fldChar w:fldCharType="end"/>
        </w:r>
      </w:p>
    </w:sdtContent>
  </w:sdt>
  <w:p w14:paraId="6701DD1D" w14:textId="77777777" w:rsidR="00170EBC" w:rsidRPr="003C224B" w:rsidRDefault="00170EBC">
    <w:pPr>
      <w:rPr>
        <w:rFonts w:asciiTheme="majorHAnsi" w:eastAsiaTheme="majorEastAsia" w:hAnsiTheme="majorHAnsi" w:cstheme="majorBid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6101140"/>
      <w:docPartObj>
        <w:docPartGallery w:val="Page Numbers (Bottom of Page)"/>
        <w:docPartUnique/>
      </w:docPartObj>
    </w:sdtPr>
    <w:sdtEndPr/>
    <w:sdtContent>
      <w:p w14:paraId="0EDE11F8" w14:textId="77777777" w:rsidR="00A510FD" w:rsidRDefault="00A510FD">
        <w:pPr>
          <w:pStyle w:val="Zpat"/>
          <w:jc w:val="right"/>
        </w:pPr>
        <w:r>
          <w:rPr>
            <w:noProof/>
          </w:rPr>
          <w:fldChar w:fldCharType="begin"/>
        </w:r>
        <w:r>
          <w:rPr>
            <w:noProof/>
          </w:rPr>
          <w:instrText xml:space="preserve"> PAGE   \* MERGEFORMAT </w:instrText>
        </w:r>
        <w:r>
          <w:rPr>
            <w:noProof/>
          </w:rPr>
          <w:fldChar w:fldCharType="separate"/>
        </w:r>
        <w:r w:rsidR="00864781">
          <w:rPr>
            <w:noProof/>
          </w:rPr>
          <w:t>90</w:t>
        </w:r>
        <w:r>
          <w:rPr>
            <w:noProof/>
          </w:rPr>
          <w:fldChar w:fldCharType="end"/>
        </w:r>
      </w:p>
    </w:sdtContent>
  </w:sdt>
  <w:p w14:paraId="78640120" w14:textId="77777777" w:rsidR="00A510FD" w:rsidRPr="003C224B" w:rsidRDefault="00A510FD">
    <w:pPr>
      <w:rPr>
        <w:rFonts w:asciiTheme="majorHAnsi" w:eastAsiaTheme="majorEastAsia" w:hAnsiTheme="majorHAnsi" w:cstheme="majorBid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4BA083" w14:textId="77777777" w:rsidR="009B14C0" w:rsidRDefault="009B14C0" w:rsidP="00AF1713">
      <w:pPr>
        <w:spacing w:before="0" w:after="0" w:line="240" w:lineRule="auto"/>
      </w:pPr>
      <w:r>
        <w:separator/>
      </w:r>
    </w:p>
  </w:footnote>
  <w:footnote w:type="continuationSeparator" w:id="0">
    <w:p w14:paraId="1BD868BC" w14:textId="77777777" w:rsidR="009B14C0" w:rsidRDefault="009B14C0" w:rsidP="00AF1713">
      <w:pPr>
        <w:spacing w:before="0" w:after="0" w:line="240" w:lineRule="auto"/>
      </w:pPr>
      <w:r>
        <w:continuationSeparator/>
      </w:r>
    </w:p>
  </w:footnote>
  <w:footnote w:id="1">
    <w:p w14:paraId="388EDC98" w14:textId="77777777" w:rsidR="009715E8" w:rsidRDefault="009715E8" w:rsidP="009715E8">
      <w:pPr>
        <w:pStyle w:val="Textpoznpodarou"/>
      </w:pPr>
      <w:r>
        <w:rPr>
          <w:rStyle w:val="Znakapoznpodarou"/>
        </w:rPr>
        <w:footnoteRef/>
      </w:r>
      <w:r>
        <w:t xml:space="preserve"> příjemci podpory z operačních programů s ex-ante kondicionalitou (OP PIK, OP VVV, OP PPR), příjemci podpory z národních programů podpory (Gama, Epsilon, Centra kompetence, TRIO), hodnotitelé projektů, členové Národních inovačních platforem, členové Krajských inovačních platforem, členové Krajských rad pro inovace, krajští RIS3 koordinátoři a manažeři, členové Mezirezortní analytické pracovní skupiny. </w:t>
      </w:r>
    </w:p>
  </w:footnote>
  <w:footnote w:id="2">
    <w:p w14:paraId="5BB192C0" w14:textId="77777777" w:rsidR="009715E8" w:rsidRDefault="009715E8" w:rsidP="009715E8">
      <w:pPr>
        <w:pStyle w:val="Textpoznpodarou"/>
      </w:pPr>
      <w:r>
        <w:rPr>
          <w:rStyle w:val="Znakapoznpodarou"/>
        </w:rPr>
        <w:footnoteRef/>
      </w:r>
      <w:r>
        <w:t xml:space="preserve"> Předmětem evaluace není Národní RIS3 strategie aktualizovaná k 31. 12. 2018 (schválena usnesením vlády č. 24 ze dne 11. 1. 2019)</w:t>
      </w:r>
    </w:p>
  </w:footnote>
  <w:footnote w:id="3">
    <w:p w14:paraId="52B0FD12" w14:textId="77777777" w:rsidR="00A510FD" w:rsidRDefault="00A510FD">
      <w:pPr>
        <w:pStyle w:val="Textpoznpodarou"/>
      </w:pPr>
      <w:r>
        <w:rPr>
          <w:rStyle w:val="Znakapoznpodarou"/>
        </w:rPr>
        <w:footnoteRef/>
      </w:r>
      <w:r>
        <w:t xml:space="preserve"> Zpráva o realizaci Národní RIS3 strategii, MPO, 2018. </w:t>
      </w:r>
    </w:p>
  </w:footnote>
  <w:footnote w:id="4">
    <w:p w14:paraId="6AE97FDE" w14:textId="77777777" w:rsidR="00A510FD" w:rsidRDefault="00A510FD">
      <w:pPr>
        <w:pStyle w:val="Textpoznpodarou"/>
      </w:pPr>
      <w:r>
        <w:rPr>
          <w:rStyle w:val="Znakapoznpodarou"/>
        </w:rPr>
        <w:footnoteRef/>
      </w:r>
      <w:r>
        <w:t xml:space="preserve"> Předmětem evaluace není Národní RIS3 strategie aktualizovaná k 31. 12. 2018 (schválena usnesením vlády č. 24 ze dne 11. 1. 2019)</w:t>
      </w:r>
    </w:p>
  </w:footnote>
  <w:footnote w:id="5">
    <w:p w14:paraId="1ADB49CF" w14:textId="77777777" w:rsidR="00A510FD" w:rsidRDefault="00A510FD" w:rsidP="00E37DFD">
      <w:pPr>
        <w:pStyle w:val="Textpoznpodarou"/>
      </w:pPr>
      <w:r>
        <w:rPr>
          <w:rStyle w:val="Znakapoznpodarou"/>
        </w:rPr>
        <w:footnoteRef/>
      </w:r>
      <w:r>
        <w:t xml:space="preserve"> Evaluační design, včetně designu dotazníkových šetření byl prezentován a předložen k připomínkám Mezirezortní analytické pracovní skupině a Řídicímu výboru RIS3, taktéž byla informace rozšířena mezi členy Národních inovačních platforem. </w:t>
      </w:r>
    </w:p>
  </w:footnote>
  <w:footnote w:id="6">
    <w:p w14:paraId="69AB3BE0" w14:textId="77777777" w:rsidR="00A510FD" w:rsidRDefault="00A510FD">
      <w:pPr>
        <w:pStyle w:val="Textpoznpodarou"/>
      </w:pPr>
      <w:r>
        <w:rPr>
          <w:rStyle w:val="Znakapoznpodarou"/>
        </w:rPr>
        <w:footnoteRef/>
      </w:r>
      <w:r>
        <w:t xml:space="preserve"> Moravskoslezský kraj se po vzájemné dohodě neúčastnil DOT 4 z důvodu významných personálních změn v KIP a KRI v období těsně před zahájením dotazníkového šetření. U Olomouckého kraje žádný z oslovených respondentů DOT 4 nevyplnil kompletně dotazník. </w:t>
      </w:r>
    </w:p>
  </w:footnote>
  <w:footnote w:id="7">
    <w:p w14:paraId="6924EA9F" w14:textId="77777777" w:rsidR="00A510FD" w:rsidRDefault="00A510FD">
      <w:pPr>
        <w:pStyle w:val="Textpoznpodarou"/>
      </w:pPr>
      <w:r>
        <w:rPr>
          <w:rStyle w:val="Znakapoznpodarou"/>
        </w:rPr>
        <w:footnoteRef/>
      </w:r>
      <w:r>
        <w:t xml:space="preserve"> Národní RIS3 manažer několikrát oficiálně žádal MMR, resp. NOK o zřízení přístupu do MS2014+ pro potřeby vyhodnocování naplňování Národní RIS3 strategie. </w:t>
      </w:r>
    </w:p>
  </w:footnote>
  <w:footnote w:id="8">
    <w:p w14:paraId="4849C554" w14:textId="77777777" w:rsidR="00A510FD" w:rsidRDefault="00A510FD" w:rsidP="00821302">
      <w:pPr>
        <w:pStyle w:val="Textpoznpodarou"/>
      </w:pPr>
      <w:r>
        <w:rPr>
          <w:rStyle w:val="Znakapoznpodarou"/>
        </w:rPr>
        <w:footnoteRef/>
      </w:r>
      <w:r>
        <w:t xml:space="preserve"> </w:t>
      </w:r>
      <w:hyperlink r:id="rId1" w:history="1">
        <w:r w:rsidRPr="00BA3436">
          <w:rPr>
            <w:rStyle w:val="Hypertextovodkaz"/>
          </w:rPr>
          <w:t>http://s3platform.jrc.ec.europa.eu</w:t>
        </w:r>
      </w:hyperlink>
    </w:p>
  </w:footnote>
  <w:footnote w:id="9">
    <w:p w14:paraId="5124131D" w14:textId="77777777" w:rsidR="00A510FD" w:rsidRDefault="00A510FD" w:rsidP="00821302">
      <w:pPr>
        <w:spacing w:before="0" w:after="0" w:line="240" w:lineRule="auto"/>
      </w:pPr>
      <w:r>
        <w:rPr>
          <w:rStyle w:val="Znakapoznpodarou"/>
        </w:rPr>
        <w:footnoteRef/>
      </w:r>
      <w:r>
        <w:t xml:space="preserve"> </w:t>
      </w:r>
      <w:r w:rsidRPr="00EB5776">
        <w:rPr>
          <w:rFonts w:cstheme="minorHAnsi"/>
          <w:sz w:val="18"/>
          <w:szCs w:val="18"/>
        </w:rPr>
        <w:t>E</w:t>
      </w:r>
      <w:r>
        <w:rPr>
          <w:rFonts w:cstheme="minorHAnsi"/>
          <w:sz w:val="18"/>
          <w:szCs w:val="18"/>
        </w:rPr>
        <w:t>conomic</w:t>
      </w:r>
      <w:r w:rsidRPr="00EB5776">
        <w:rPr>
          <w:rFonts w:cstheme="minorHAnsi"/>
          <w:sz w:val="18"/>
          <w:szCs w:val="18"/>
        </w:rPr>
        <w:t xml:space="preserve"> T</w:t>
      </w:r>
      <w:r>
        <w:rPr>
          <w:rFonts w:cstheme="minorHAnsi"/>
          <w:sz w:val="18"/>
          <w:szCs w:val="18"/>
        </w:rPr>
        <w:t xml:space="preserve">ransformation </w:t>
      </w:r>
      <w:r w:rsidRPr="00EB5776">
        <w:rPr>
          <w:rFonts w:cstheme="minorHAnsi"/>
          <w:sz w:val="18"/>
          <w:szCs w:val="18"/>
        </w:rPr>
        <w:t>S</w:t>
      </w:r>
      <w:r>
        <w:rPr>
          <w:rFonts w:cstheme="minorHAnsi"/>
          <w:sz w:val="18"/>
          <w:szCs w:val="18"/>
        </w:rPr>
        <w:t>trategies</w:t>
      </w:r>
      <w:r w:rsidRPr="00EB5776">
        <w:rPr>
          <w:rFonts w:cstheme="minorHAnsi"/>
          <w:sz w:val="18"/>
          <w:szCs w:val="18"/>
        </w:rPr>
        <w:t xml:space="preserve"> S</w:t>
      </w:r>
      <w:r>
        <w:rPr>
          <w:rFonts w:cstheme="minorHAnsi"/>
          <w:sz w:val="18"/>
          <w:szCs w:val="18"/>
        </w:rPr>
        <w:t>mart</w:t>
      </w:r>
      <w:r w:rsidRPr="00EB5776">
        <w:rPr>
          <w:rFonts w:cstheme="minorHAnsi"/>
          <w:sz w:val="18"/>
          <w:szCs w:val="18"/>
        </w:rPr>
        <w:t xml:space="preserve"> S</w:t>
      </w:r>
      <w:r>
        <w:rPr>
          <w:rFonts w:cstheme="minorHAnsi"/>
          <w:sz w:val="18"/>
          <w:szCs w:val="18"/>
        </w:rPr>
        <w:t>pecialisation</w:t>
      </w:r>
      <w:r w:rsidRPr="00EB5776">
        <w:rPr>
          <w:rFonts w:cstheme="minorHAnsi"/>
          <w:sz w:val="18"/>
          <w:szCs w:val="18"/>
        </w:rPr>
        <w:t xml:space="preserve"> C</w:t>
      </w:r>
      <w:r>
        <w:rPr>
          <w:rFonts w:cstheme="minorHAnsi"/>
          <w:sz w:val="18"/>
          <w:szCs w:val="18"/>
        </w:rPr>
        <w:t>ase</w:t>
      </w:r>
      <w:r w:rsidRPr="00EB5776">
        <w:rPr>
          <w:rFonts w:cstheme="minorHAnsi"/>
          <w:sz w:val="18"/>
          <w:szCs w:val="18"/>
        </w:rPr>
        <w:t xml:space="preserve"> S</w:t>
      </w:r>
      <w:r>
        <w:rPr>
          <w:rFonts w:cstheme="minorHAnsi"/>
          <w:sz w:val="18"/>
          <w:szCs w:val="18"/>
        </w:rPr>
        <w:t>tudies</w:t>
      </w:r>
      <w:r w:rsidRPr="00EB5776">
        <w:rPr>
          <w:rFonts w:cstheme="minorHAnsi"/>
          <w:sz w:val="18"/>
          <w:szCs w:val="18"/>
        </w:rPr>
        <w:t>, 2012.</w:t>
      </w:r>
      <w:r>
        <w:rPr>
          <w:rFonts w:cstheme="minorHAnsi"/>
          <w:sz w:val="18"/>
          <w:szCs w:val="18"/>
        </w:rPr>
        <w:t xml:space="preserve"> </w:t>
      </w:r>
      <w:hyperlink r:id="rId2" w:history="1">
        <w:r w:rsidRPr="00EB5776">
          <w:rPr>
            <w:rStyle w:val="Hypertextovodkaz"/>
            <w:rFonts w:cstheme="minorHAnsi"/>
            <w:sz w:val="18"/>
            <w:szCs w:val="18"/>
          </w:rPr>
          <w:t>http://s3platform.jrc.ec.europa.eu/documents/20182/141136/Econ_Transformation_Strats_ROrtegaArgil%C3%A9s.pdf</w:t>
        </w:r>
      </w:hyperlink>
    </w:p>
  </w:footnote>
  <w:footnote w:id="10">
    <w:p w14:paraId="6FFE1314" w14:textId="77777777" w:rsidR="00A510FD" w:rsidRDefault="00A510FD">
      <w:pPr>
        <w:pStyle w:val="Textpoznpodarou"/>
      </w:pPr>
      <w:r>
        <w:rPr>
          <w:rStyle w:val="Znakapoznpodarou"/>
        </w:rPr>
        <w:footnoteRef/>
      </w:r>
      <w:r>
        <w:t xml:space="preserve"> Týká se těchto tematických cílů: 1. Posilování výzkumu, technologického rozvoje a inovací a 2. Zlepšení přístupu k informačním a komunikačním technologiím (IKT), využití a kvality IKT</w:t>
      </w:r>
    </w:p>
  </w:footnote>
  <w:footnote w:id="11">
    <w:p w14:paraId="012ED46A" w14:textId="77777777" w:rsidR="00A510FD" w:rsidRDefault="00A510FD">
      <w:pPr>
        <w:pStyle w:val="Textpoznpodarou"/>
      </w:pPr>
      <w:r>
        <w:rPr>
          <w:rStyle w:val="Znakapoznpodarou"/>
        </w:rPr>
        <w:footnoteRef/>
      </w:r>
      <w:r>
        <w:t xml:space="preserve"> Nařízení Evropského parlamentu a Rady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w:t>
      </w:r>
    </w:p>
  </w:footnote>
  <w:footnote w:id="12">
    <w:p w14:paraId="7C979A94" w14:textId="77777777" w:rsidR="00A510FD" w:rsidRDefault="00A510FD">
      <w:pPr>
        <w:pStyle w:val="Textpoznpodarou"/>
      </w:pPr>
      <w:r>
        <w:rPr>
          <w:rStyle w:val="Znakapoznpodarou"/>
        </w:rPr>
        <w:footnoteRef/>
      </w:r>
      <w:r>
        <w:t xml:space="preserve"> Národní RIS3 strategie je ex-ante kondicionalitou pro všechny specifické cíle PO1 (SC1-SC4) a specifický cíl SC5 IP1 PO2. Některé další specifické cíle OP VVV, pro něž není Národní RIS3 strategie ex-ante kondicionalitou, však svými intervencemi k jejímu naplňování přispívají. </w:t>
      </w:r>
    </w:p>
  </w:footnote>
  <w:footnote w:id="13">
    <w:p w14:paraId="5F12292F" w14:textId="77777777" w:rsidR="00A510FD" w:rsidRDefault="00A510FD">
      <w:pPr>
        <w:pStyle w:val="Textpoznpodarou"/>
      </w:pPr>
      <w:r>
        <w:rPr>
          <w:rStyle w:val="Znakapoznpodarou"/>
        </w:rPr>
        <w:footnoteRef/>
      </w:r>
      <w:r>
        <w:t xml:space="preserve"> Národní RIS3 strategie je ex-ante kondicionalitou pro prioritní osu 1 (SC 1.1 a 1.2) , PO2 (SC 2.1 a 2.2) a PO4 (SC 4.1 a 4.2).</w:t>
      </w:r>
    </w:p>
  </w:footnote>
  <w:footnote w:id="14">
    <w:p w14:paraId="56C2DA65" w14:textId="77777777" w:rsidR="00A510FD" w:rsidRDefault="00A510FD">
      <w:pPr>
        <w:pStyle w:val="Textpoznpodarou"/>
      </w:pPr>
      <w:r>
        <w:rPr>
          <w:rStyle w:val="Znakapoznpodarou"/>
        </w:rPr>
        <w:footnoteRef/>
      </w:r>
      <w:r>
        <w:t xml:space="preserve"> Národní RIS3 strategie je ex-ante kondicionalitou pro prioritní osu 1.</w:t>
      </w:r>
    </w:p>
  </w:footnote>
  <w:footnote w:id="15">
    <w:p w14:paraId="0C414B3B" w14:textId="77777777" w:rsidR="00A510FD" w:rsidRDefault="00A510FD">
      <w:pPr>
        <w:pStyle w:val="Textpoznpodarou"/>
      </w:pPr>
      <w:r>
        <w:rPr>
          <w:rStyle w:val="Znakapoznpodarou"/>
        </w:rPr>
        <w:footnoteRef/>
      </w:r>
      <w:r>
        <w:t xml:space="preserve"> Při aktualizaci Národní RIS3 strategie k 31. 12. 2018 došlo k rozšíření o další národní a rezortní programy, pro které se stala strategie také koordinačním mechanizmem. Evaluace však hodnotí nastavení implementace týkající se období do roku 2018, tyto nové programy budou zahrnuty do hodnocení až v další evaluaci Národní RIS3 strategie. </w:t>
      </w:r>
    </w:p>
  </w:footnote>
  <w:footnote w:id="16">
    <w:p w14:paraId="3FEFD78C" w14:textId="77777777" w:rsidR="00A510FD" w:rsidRPr="00235522" w:rsidRDefault="00A510FD" w:rsidP="00235522">
      <w:pPr>
        <w:autoSpaceDE w:val="0"/>
        <w:autoSpaceDN w:val="0"/>
        <w:adjustRightInd w:val="0"/>
        <w:spacing w:before="0" w:after="0" w:line="240" w:lineRule="auto"/>
        <w:rPr>
          <w:sz w:val="18"/>
          <w:szCs w:val="18"/>
        </w:rPr>
      </w:pPr>
      <w:r>
        <w:rPr>
          <w:rStyle w:val="Znakapoznpodarou"/>
        </w:rPr>
        <w:footnoteRef/>
      </w:r>
      <w:r>
        <w:t xml:space="preserve"> </w:t>
      </w:r>
      <w:r w:rsidRPr="00235522">
        <w:rPr>
          <w:rFonts w:cs="Calibri"/>
          <w:spacing w:val="0"/>
          <w:sz w:val="18"/>
          <w:szCs w:val="18"/>
          <w:lang w:bidi="ar-SA"/>
        </w:rPr>
        <w:t>Koncept trojité šroubovice (anglicky triple helix) (Etzkowitz, 1993, Etzkowitz a Leydesdorff, 2000) představuje</w:t>
      </w:r>
      <w:r>
        <w:rPr>
          <w:rFonts w:cs="Calibri"/>
          <w:spacing w:val="0"/>
          <w:sz w:val="18"/>
          <w:szCs w:val="18"/>
          <w:lang w:bidi="ar-SA"/>
        </w:rPr>
        <w:t xml:space="preserve"> </w:t>
      </w:r>
      <w:r w:rsidRPr="00235522">
        <w:rPr>
          <w:rFonts w:cs="Calibri"/>
          <w:spacing w:val="0"/>
          <w:sz w:val="18"/>
          <w:szCs w:val="18"/>
          <w:lang w:bidi="ar-SA"/>
        </w:rPr>
        <w:t xml:space="preserve">analytický </w:t>
      </w:r>
      <w:r>
        <w:rPr>
          <w:rFonts w:cs="Calibri"/>
          <w:spacing w:val="0"/>
          <w:sz w:val="18"/>
          <w:szCs w:val="18"/>
          <w:lang w:bidi="ar-SA"/>
        </w:rPr>
        <w:t>n</w:t>
      </w:r>
      <w:r w:rsidRPr="00235522">
        <w:rPr>
          <w:rFonts w:cs="Calibri"/>
          <w:spacing w:val="0"/>
          <w:sz w:val="18"/>
          <w:szCs w:val="18"/>
          <w:lang w:bidi="ar-SA"/>
        </w:rPr>
        <w:t>ástroj vhodný pro analýzu organizačního a institucionálního uspořádání klíčových aktérů inovačního</w:t>
      </w:r>
      <w:r>
        <w:rPr>
          <w:rFonts w:cs="Calibri"/>
          <w:spacing w:val="0"/>
          <w:sz w:val="18"/>
          <w:szCs w:val="18"/>
          <w:lang w:bidi="ar-SA"/>
        </w:rPr>
        <w:t xml:space="preserve"> </w:t>
      </w:r>
      <w:r w:rsidRPr="00235522">
        <w:rPr>
          <w:rFonts w:cs="Calibri"/>
          <w:spacing w:val="0"/>
          <w:sz w:val="18"/>
          <w:szCs w:val="18"/>
          <w:lang w:bidi="ar-SA"/>
        </w:rPr>
        <w:t xml:space="preserve">systému, které </w:t>
      </w:r>
      <w:r>
        <w:rPr>
          <w:rFonts w:cs="Calibri"/>
          <w:spacing w:val="0"/>
          <w:sz w:val="18"/>
          <w:szCs w:val="18"/>
          <w:lang w:bidi="ar-SA"/>
        </w:rPr>
        <w:t>p</w:t>
      </w:r>
      <w:r w:rsidRPr="00235522">
        <w:rPr>
          <w:rFonts w:cs="Calibri"/>
          <w:spacing w:val="0"/>
          <w:sz w:val="18"/>
          <w:szCs w:val="18"/>
          <w:lang w:bidi="ar-SA"/>
        </w:rPr>
        <w:t>odmiňuje konkurenceschopnost regionů (blíže viz Blažek a Uhlíř, 2011). Pojem quadruple helix</w:t>
      </w:r>
      <w:r>
        <w:rPr>
          <w:rFonts w:cs="Calibri"/>
          <w:spacing w:val="0"/>
          <w:sz w:val="18"/>
          <w:szCs w:val="18"/>
          <w:lang w:bidi="ar-SA"/>
        </w:rPr>
        <w:t xml:space="preserve"> </w:t>
      </w:r>
      <w:r w:rsidRPr="00235522">
        <w:rPr>
          <w:rFonts w:cs="Calibri"/>
          <w:spacing w:val="0"/>
          <w:sz w:val="18"/>
          <w:szCs w:val="18"/>
          <w:lang w:bidi="ar-SA"/>
        </w:rPr>
        <w:t>byl do odborné literatury zaveden poměrně nedávno a zejména v souvislosti s konceptem inteligentní</w:t>
      </w:r>
      <w:r>
        <w:rPr>
          <w:rFonts w:cs="Calibri"/>
          <w:spacing w:val="0"/>
          <w:sz w:val="18"/>
          <w:szCs w:val="18"/>
          <w:lang w:bidi="ar-SA"/>
        </w:rPr>
        <w:t xml:space="preserve"> </w:t>
      </w:r>
      <w:r w:rsidRPr="00235522">
        <w:rPr>
          <w:rFonts w:cs="Calibri"/>
          <w:spacing w:val="0"/>
          <w:sz w:val="18"/>
          <w:szCs w:val="18"/>
          <w:lang w:bidi="ar-SA"/>
        </w:rPr>
        <w:t>specializace. Jedná se o rozšíření původního konceptu triple helix tak, aby zahrnoval roli neziskového sektoru</w:t>
      </w:r>
      <w:r>
        <w:rPr>
          <w:rFonts w:cs="Calibri"/>
          <w:spacing w:val="0"/>
          <w:sz w:val="18"/>
          <w:szCs w:val="18"/>
          <w:lang w:bidi="ar-SA"/>
        </w:rPr>
        <w:t xml:space="preserve">, </w:t>
      </w:r>
      <w:r w:rsidRPr="00235522">
        <w:rPr>
          <w:rFonts w:cs="Calibri"/>
          <w:spacing w:val="0"/>
          <w:sz w:val="18"/>
          <w:szCs w:val="18"/>
          <w:lang w:bidi="ar-SA"/>
        </w:rPr>
        <w:t>který v některých inovačních systémech (národních nebo regionálních) může hrát také nezanedbatelnou roli.</w:t>
      </w:r>
    </w:p>
  </w:footnote>
  <w:footnote w:id="17">
    <w:p w14:paraId="6F2CE9C7" w14:textId="77777777" w:rsidR="00A510FD" w:rsidRDefault="00A510FD">
      <w:pPr>
        <w:pStyle w:val="Textpoznpodarou"/>
      </w:pPr>
      <w:r>
        <w:rPr>
          <w:rStyle w:val="Znakapoznpodarou"/>
        </w:rPr>
        <w:footnoteRef/>
      </w:r>
      <w:r>
        <w:t xml:space="preserve"> Období, kdy přírůstky HDP jsou záporné několik po sobě jdoucích čtvrtletí (pokles HDP)</w:t>
      </w:r>
    </w:p>
  </w:footnote>
  <w:footnote w:id="18">
    <w:p w14:paraId="291161EB" w14:textId="77777777" w:rsidR="00A510FD" w:rsidRDefault="00A510FD" w:rsidP="009C6C55">
      <w:pPr>
        <w:pStyle w:val="Textpoznpodarou"/>
      </w:pPr>
      <w:r>
        <w:rPr>
          <w:rStyle w:val="Znakapoznpodarou"/>
        </w:rPr>
        <w:footnoteRef/>
      </w:r>
      <w:r>
        <w:t xml:space="preserve"> </w:t>
      </w:r>
      <w:r w:rsidRPr="00643826">
        <w:rPr>
          <w:szCs w:val="18"/>
        </w:rPr>
        <w:t>Johannes Hahn, Smart Specialisation and Europe’s Growth Agenda (2014)</w:t>
      </w:r>
    </w:p>
  </w:footnote>
  <w:footnote w:id="19">
    <w:p w14:paraId="1AE63A22" w14:textId="77777777" w:rsidR="00A510FD" w:rsidRDefault="00A510FD">
      <w:pPr>
        <w:pStyle w:val="Textpoznpodarou"/>
      </w:pPr>
      <w:r>
        <w:rPr>
          <w:rStyle w:val="Znakapoznpodarou"/>
        </w:rPr>
        <w:footnoteRef/>
      </w:r>
      <w:r>
        <w:t xml:space="preserve"> Zdroj: ČSÚ</w:t>
      </w:r>
    </w:p>
  </w:footnote>
  <w:footnote w:id="20">
    <w:p w14:paraId="0D50E1F4" w14:textId="77777777" w:rsidR="00A510FD" w:rsidRDefault="00A510FD">
      <w:pPr>
        <w:pStyle w:val="Textpoznpodarou"/>
      </w:pPr>
      <w:r>
        <w:rPr>
          <w:rStyle w:val="Znakapoznpodarou"/>
        </w:rPr>
        <w:footnoteRef/>
      </w:r>
      <w:r>
        <w:t xml:space="preserve"> Vycházíme z celkového počtu kompletně vyplněných dotazníků (N=941). Blíže Příloha 1a Vyhodnocení dotazníkového šetření s příjemci podpory z operačních programů, resp. 1b s příjemci podpory z národních programů podpory.</w:t>
      </w:r>
    </w:p>
  </w:footnote>
  <w:footnote w:id="21">
    <w:p w14:paraId="72F8F892" w14:textId="77777777" w:rsidR="00A510FD" w:rsidRPr="00E57E1F" w:rsidRDefault="00A510FD" w:rsidP="009C6C55">
      <w:pPr>
        <w:pStyle w:val="Textpoznpodarou"/>
        <w:rPr>
          <w:szCs w:val="18"/>
        </w:rPr>
      </w:pPr>
      <w:r w:rsidRPr="00E57E1F">
        <w:rPr>
          <w:rStyle w:val="Znakapoznpodarou"/>
          <w:szCs w:val="18"/>
        </w:rPr>
        <w:footnoteRef/>
      </w:r>
      <w:r w:rsidRPr="00E57E1F">
        <w:rPr>
          <w:szCs w:val="18"/>
        </w:rPr>
        <w:t xml:space="preserve"> </w:t>
      </w:r>
      <w:hyperlink r:id="rId3" w:history="1">
        <w:r w:rsidRPr="00E57E1F">
          <w:rPr>
            <w:rStyle w:val="Hypertextovodkaz"/>
            <w:szCs w:val="18"/>
          </w:rPr>
          <w:t>https://www.mfcr.cz/cs/verejny-sektor/makroekonomika/makroekonomicka-predikce/2018/46-kolokvium-setreni-prognoz-makroekono-33602</w:t>
        </w:r>
      </w:hyperlink>
    </w:p>
  </w:footnote>
  <w:footnote w:id="22">
    <w:p w14:paraId="5464FC50" w14:textId="77777777" w:rsidR="00A510FD" w:rsidRDefault="00A510FD" w:rsidP="00C929F1">
      <w:pPr>
        <w:pStyle w:val="Textpoznpodarou"/>
      </w:pPr>
      <w:r>
        <w:rPr>
          <w:rStyle w:val="Znakapoznpodarou"/>
        </w:rPr>
        <w:footnoteRef/>
      </w:r>
      <w:r>
        <w:t xml:space="preserve"> Národní RIS3 strategie, 2018.</w:t>
      </w:r>
    </w:p>
  </w:footnote>
  <w:footnote w:id="23">
    <w:p w14:paraId="41306BE5" w14:textId="77777777" w:rsidR="00A510FD" w:rsidRDefault="00A510FD">
      <w:pPr>
        <w:pStyle w:val="Textpoznpodarou"/>
      </w:pPr>
      <w:r>
        <w:rPr>
          <w:rStyle w:val="Znakapoznpodarou"/>
        </w:rPr>
        <w:footnoteRef/>
      </w:r>
      <w:r>
        <w:t xml:space="preserve"> Výchozí hodnoty jednotlivých indikátorů jsou vztaženy k datu, ke kterému byla hodnota daného indikátoru dostupná. </w:t>
      </w:r>
    </w:p>
  </w:footnote>
  <w:footnote w:id="24">
    <w:p w14:paraId="79A7FA11" w14:textId="77777777" w:rsidR="00A510FD" w:rsidRDefault="00A510FD">
      <w:pPr>
        <w:pStyle w:val="Textpoznpodarou"/>
      </w:pPr>
      <w:r>
        <w:rPr>
          <w:rStyle w:val="Znakapoznpodarou"/>
        </w:rPr>
        <w:footnoteRef/>
      </w:r>
      <w:r>
        <w:t xml:space="preserve"> Národní RIS3 strategie, 2018</w:t>
      </w:r>
    </w:p>
  </w:footnote>
  <w:footnote w:id="25">
    <w:p w14:paraId="3C316220" w14:textId="77777777" w:rsidR="00A510FD" w:rsidRDefault="00A510FD">
      <w:pPr>
        <w:pStyle w:val="Textpoznpodarou"/>
      </w:pPr>
      <w:r>
        <w:rPr>
          <w:rStyle w:val="Znakapoznpodarou"/>
        </w:rPr>
        <w:footnoteRef/>
      </w:r>
      <w:r>
        <w:t xml:space="preserve"> Někdy používán termín „generické znalostní domény“</w:t>
      </w:r>
    </w:p>
  </w:footnote>
  <w:footnote w:id="26">
    <w:p w14:paraId="4D8E3A85" w14:textId="77777777" w:rsidR="00A510FD" w:rsidRDefault="00A510FD" w:rsidP="00820BC7">
      <w:pPr>
        <w:spacing w:before="0" w:after="0" w:line="240" w:lineRule="auto"/>
        <w:jc w:val="left"/>
      </w:pPr>
      <w:r>
        <w:rPr>
          <w:rStyle w:val="Znakapoznpodarou"/>
        </w:rPr>
        <w:footnoteRef/>
      </w:r>
      <w:r>
        <w:t xml:space="preserve"> </w:t>
      </w:r>
      <w:r w:rsidRPr="00820BC7">
        <w:rPr>
          <w:sz w:val="18"/>
          <w:szCs w:val="18"/>
          <w:lang w:bidi="ar-SA"/>
        </w:rPr>
        <w:t>Průniky národních domén specializace a aplikačních odvětví zachycuje tzv. vertikalizační matice.</w:t>
      </w:r>
    </w:p>
  </w:footnote>
  <w:footnote w:id="27">
    <w:p w14:paraId="6467D270" w14:textId="77777777" w:rsidR="00A510FD" w:rsidRPr="00092EC1" w:rsidRDefault="00A510FD" w:rsidP="00A177D7">
      <w:pPr>
        <w:pStyle w:val="Textpoznpodarou"/>
        <w:rPr>
          <w:rFonts w:cs="Calibri"/>
          <w:szCs w:val="18"/>
        </w:rPr>
      </w:pPr>
      <w:r>
        <w:rPr>
          <w:rStyle w:val="Znakapoznpodarou"/>
        </w:rPr>
        <w:footnoteRef/>
      </w:r>
      <w:r>
        <w:t xml:space="preserve"> C</w:t>
      </w:r>
      <w:r w:rsidRPr="00092EC1">
        <w:rPr>
          <w:rFonts w:cs="Calibri"/>
          <w:szCs w:val="18"/>
        </w:rPr>
        <w:t>OM(2009) 512 v konečném znění</w:t>
      </w:r>
      <w:r>
        <w:rPr>
          <w:rFonts w:cs="Calibri"/>
          <w:szCs w:val="18"/>
        </w:rPr>
        <w:t xml:space="preserve"> </w:t>
      </w:r>
      <w:r w:rsidRPr="00092EC1">
        <w:rPr>
          <w:rFonts w:cs="Calibri"/>
          <w:bCs/>
          <w:szCs w:val="18"/>
        </w:rPr>
        <w:t>„Příprava na budoucnost: vývoj společné strategie pro klíčové technologie v EU“</w:t>
      </w:r>
    </w:p>
  </w:footnote>
  <w:footnote w:id="28">
    <w:p w14:paraId="7E00EF85" w14:textId="77777777" w:rsidR="00A510FD" w:rsidRDefault="00A510FD">
      <w:pPr>
        <w:pStyle w:val="Textpoznpodarou"/>
      </w:pPr>
      <w:r>
        <w:rPr>
          <w:rStyle w:val="Znakapoznpodarou"/>
        </w:rPr>
        <w:footnoteRef/>
      </w:r>
      <w:r>
        <w:t xml:space="preserve"> Národní RIS3 strategie</w:t>
      </w:r>
    </w:p>
  </w:footnote>
  <w:footnote w:id="29">
    <w:p w14:paraId="04F1C38C" w14:textId="77777777" w:rsidR="00A510FD" w:rsidRDefault="00A510FD">
      <w:pPr>
        <w:pStyle w:val="Textpoznpodarou"/>
      </w:pPr>
      <w:r>
        <w:rPr>
          <w:rStyle w:val="Znakapoznpodarou"/>
        </w:rPr>
        <w:footnoteRef/>
      </w:r>
      <w:r>
        <w:t xml:space="preserve"> </w:t>
      </w:r>
      <w:hyperlink r:id="rId4" w:history="1">
        <w:r w:rsidRPr="00265B23">
          <w:rPr>
            <w:rStyle w:val="Hypertextovodkaz"/>
          </w:rPr>
          <w:t>http://ec.europa.eu/research/industrial_technologies/pdf/re_finding_industry_022018.pdf</w:t>
        </w:r>
      </w:hyperlink>
    </w:p>
    <w:p w14:paraId="49E779A5" w14:textId="77777777" w:rsidR="00A510FD" w:rsidRDefault="00A510FD">
      <w:pPr>
        <w:pStyle w:val="Textpoznpodarou"/>
      </w:pPr>
    </w:p>
  </w:footnote>
  <w:footnote w:id="30">
    <w:p w14:paraId="50329A17" w14:textId="77777777" w:rsidR="00A510FD" w:rsidRDefault="00A510FD" w:rsidP="00766102">
      <w:pPr>
        <w:pStyle w:val="Textpoznpodarou"/>
      </w:pPr>
      <w:r>
        <w:rPr>
          <w:rStyle w:val="Znakapoznpodarou"/>
        </w:rPr>
        <w:footnoteRef/>
      </w:r>
      <w:r>
        <w:t xml:space="preserve"> </w:t>
      </w:r>
      <w:r w:rsidRPr="00CA35DB">
        <w:t>Guide to Research and Innovation Strategies for Smart Specialisations (RIS 3)</w:t>
      </w:r>
      <w:r>
        <w:t>,</w:t>
      </w:r>
      <w:r w:rsidRPr="00CA35DB">
        <w:t xml:space="preserve"> 2012</w:t>
      </w:r>
    </w:p>
  </w:footnote>
  <w:footnote w:id="31">
    <w:p w14:paraId="404E3474" w14:textId="77777777" w:rsidR="00A510FD" w:rsidRDefault="00A510FD">
      <w:pPr>
        <w:pStyle w:val="Textpoznpodarou"/>
      </w:pPr>
      <w:r>
        <w:rPr>
          <w:rStyle w:val="Znakapoznpodarou"/>
        </w:rPr>
        <w:footnoteRef/>
      </w:r>
      <w:r>
        <w:t xml:space="preserve"> Národní politika Výzkumu, vývoje a inovací České republiky</w:t>
      </w:r>
    </w:p>
  </w:footnote>
  <w:footnote w:id="32">
    <w:p w14:paraId="133F26A7" w14:textId="77777777" w:rsidR="00A510FD" w:rsidRDefault="00A510FD" w:rsidP="009A02AB">
      <w:pPr>
        <w:pStyle w:val="Textpoznpodarou"/>
      </w:pPr>
      <w:r>
        <w:rPr>
          <w:rStyle w:val="Znakapoznpodarou"/>
        </w:rPr>
        <w:footnoteRef/>
      </w:r>
      <w:r>
        <w:t xml:space="preserve"> </w:t>
      </w:r>
      <w:hyperlink r:id="rId5" w:history="1">
        <w:r w:rsidRPr="00265B23">
          <w:rPr>
            <w:rStyle w:val="Hypertextovodkaz"/>
            <w:bCs/>
            <w:szCs w:val="22"/>
          </w:rPr>
          <w:t>https://www.slideshare.net/deloresbarnhill/entrepreneurial-discovery-and-environmental-scanning</w:t>
        </w:r>
      </w:hyperlink>
    </w:p>
  </w:footnote>
  <w:footnote w:id="33">
    <w:p w14:paraId="78BA8658" w14:textId="77777777" w:rsidR="00A510FD" w:rsidRDefault="00A510FD">
      <w:pPr>
        <w:pStyle w:val="Textpoznpodarou"/>
      </w:pPr>
      <w:r>
        <w:rPr>
          <w:rStyle w:val="Znakapoznpodarou"/>
        </w:rPr>
        <w:footnoteRef/>
      </w:r>
      <w:r>
        <w:t xml:space="preserve"> Národní RIS3 strategie (2016), s. 92</w:t>
      </w:r>
    </w:p>
  </w:footnote>
  <w:footnote w:id="34">
    <w:p w14:paraId="26C0C838" w14:textId="77777777" w:rsidR="00A510FD" w:rsidRDefault="00A510FD">
      <w:pPr>
        <w:pStyle w:val="Textpoznpodarou"/>
      </w:pPr>
      <w:r>
        <w:rPr>
          <w:rStyle w:val="Znakapoznpodarou"/>
        </w:rPr>
        <w:footnoteRef/>
      </w:r>
      <w:r>
        <w:t xml:space="preserve"> Národní RIS3 strategie (2018), s. 150</w:t>
      </w:r>
    </w:p>
  </w:footnote>
  <w:footnote w:id="35">
    <w:p w14:paraId="4CCDD5B3" w14:textId="77777777" w:rsidR="00A510FD" w:rsidRDefault="00A510FD">
      <w:pPr>
        <w:pStyle w:val="Textpoznpodarou"/>
      </w:pPr>
      <w:r>
        <w:rPr>
          <w:rStyle w:val="Znakapoznpodarou"/>
        </w:rPr>
        <w:footnoteRef/>
      </w:r>
      <w:r>
        <w:t xml:space="preserve"> Zdroj: monitoring MPO</w:t>
      </w:r>
    </w:p>
  </w:footnote>
  <w:footnote w:id="36">
    <w:p w14:paraId="0F8C0733" w14:textId="77777777" w:rsidR="00A510FD" w:rsidRDefault="00A510FD">
      <w:pPr>
        <w:pStyle w:val="Textpoznpodarou"/>
      </w:pPr>
      <w:r>
        <w:rPr>
          <w:rStyle w:val="Znakapoznpodarou"/>
        </w:rPr>
        <w:footnoteRef/>
      </w:r>
      <w:r>
        <w:t xml:space="preserve"> Národní RIS3 strategie (2014), str. 95</w:t>
      </w:r>
    </w:p>
  </w:footnote>
  <w:footnote w:id="37">
    <w:p w14:paraId="09FCFAD5" w14:textId="77777777" w:rsidR="00A510FD" w:rsidRDefault="00A510FD">
      <w:pPr>
        <w:pStyle w:val="Textpoznpodarou"/>
      </w:pPr>
      <w:r>
        <w:rPr>
          <w:rStyle w:val="Znakapoznpodarou"/>
        </w:rPr>
        <w:footnoteRef/>
      </w:r>
      <w:r>
        <w:t xml:space="preserve"> Národní RIS3 strategie (2016) – kap. Výzkumná specializace</w:t>
      </w:r>
    </w:p>
  </w:footnote>
  <w:footnote w:id="38">
    <w:p w14:paraId="492F85E9" w14:textId="77777777" w:rsidR="00A510FD" w:rsidRDefault="00A510FD">
      <w:pPr>
        <w:pStyle w:val="Textpoznpodarou"/>
      </w:pPr>
      <w:r>
        <w:rPr>
          <w:rStyle w:val="Znakapoznpodarou"/>
        </w:rPr>
        <w:footnoteRef/>
      </w:r>
      <w:r>
        <w:t xml:space="preserve"> Dostupné na </w:t>
      </w:r>
      <w:hyperlink r:id="rId6" w:history="1">
        <w:r w:rsidRPr="00956070">
          <w:rPr>
            <w:rStyle w:val="Hypertextovodkaz"/>
          </w:rPr>
          <w:t>www.czso.cz</w:t>
        </w:r>
      </w:hyperlink>
    </w:p>
  </w:footnote>
  <w:footnote w:id="39">
    <w:p w14:paraId="3F310EE4" w14:textId="77777777" w:rsidR="00A510FD" w:rsidRDefault="00A510FD" w:rsidP="009946A2">
      <w:pPr>
        <w:pStyle w:val="Textpoznpodarou"/>
      </w:pPr>
      <w:r>
        <w:rPr>
          <w:rStyle w:val="Znakapoznpodarou"/>
        </w:rPr>
        <w:footnoteRef/>
      </w:r>
      <w:r>
        <w:t xml:space="preserve"> </w:t>
      </w:r>
      <w:r w:rsidRPr="00E71AA2">
        <w:rPr>
          <w:color w:val="000000"/>
        </w:rPr>
        <w:t>Analýza stavu výzkumu, vývoje a inovací v České republice a jejich sr</w:t>
      </w:r>
      <w:r>
        <w:rPr>
          <w:color w:val="000000"/>
        </w:rPr>
        <w:t xml:space="preserve">ovnání se zahraničím (ÚV ČR); </w:t>
      </w:r>
      <w:r w:rsidRPr="00E71AA2">
        <w:rPr>
          <w:color w:val="000000"/>
        </w:rPr>
        <w:t>Cestovní mapa ČR velkých infrastruktur pro výzkum, experimentální vývoj a inovace</w:t>
      </w:r>
      <w:r>
        <w:rPr>
          <w:color w:val="000000"/>
        </w:rPr>
        <w:t xml:space="preserve"> (MŠMT); </w:t>
      </w:r>
      <w:r w:rsidRPr="00E71AA2">
        <w:rPr>
          <w:color w:val="000000"/>
        </w:rPr>
        <w:t>Digitální Česko v 2.0 - Cesta k digitální ekonomice</w:t>
      </w:r>
      <w:r>
        <w:rPr>
          <w:color w:val="000000"/>
        </w:rPr>
        <w:t xml:space="preserve"> (MPO); </w:t>
      </w:r>
      <w:r w:rsidRPr="00E71AA2">
        <w:rPr>
          <w:color w:val="000000"/>
        </w:rPr>
        <w:t>Exportní strategie Č</w:t>
      </w:r>
      <w:r>
        <w:rPr>
          <w:color w:val="000000"/>
        </w:rPr>
        <w:t>R</w:t>
      </w:r>
      <w:r w:rsidRPr="00E71AA2">
        <w:rPr>
          <w:color w:val="000000"/>
        </w:rPr>
        <w:t xml:space="preserve"> pro období 2012 až 2020</w:t>
      </w:r>
      <w:r>
        <w:rPr>
          <w:color w:val="000000"/>
        </w:rPr>
        <w:t xml:space="preserve"> (MPO); </w:t>
      </w:r>
      <w:r w:rsidRPr="00E71AA2">
        <w:rPr>
          <w:color w:val="000000"/>
        </w:rPr>
        <w:t xml:space="preserve">Mezinárodní audit </w:t>
      </w:r>
      <w:r>
        <w:rPr>
          <w:color w:val="000000"/>
        </w:rPr>
        <w:t>výzkumu, vývoje a inovací</w:t>
      </w:r>
      <w:r w:rsidRPr="00E71AA2">
        <w:rPr>
          <w:color w:val="000000"/>
        </w:rPr>
        <w:t xml:space="preserve"> v</w:t>
      </w:r>
      <w:r>
        <w:rPr>
          <w:color w:val="000000"/>
        </w:rPr>
        <w:t> </w:t>
      </w:r>
      <w:r w:rsidRPr="00E71AA2">
        <w:rPr>
          <w:color w:val="000000"/>
        </w:rPr>
        <w:t>ČR</w:t>
      </w:r>
      <w:r>
        <w:rPr>
          <w:color w:val="000000"/>
        </w:rPr>
        <w:t xml:space="preserve"> (MŠMT); </w:t>
      </w:r>
      <w:r w:rsidRPr="00E71AA2">
        <w:rPr>
          <w:color w:val="000000"/>
        </w:rPr>
        <w:t>Národní inovační strategie České republiky</w:t>
      </w:r>
      <w:r>
        <w:rPr>
          <w:color w:val="000000"/>
        </w:rPr>
        <w:t xml:space="preserve"> (MPO); Národní politika</w:t>
      </w:r>
      <w:r w:rsidRPr="00E71AA2">
        <w:rPr>
          <w:color w:val="000000"/>
        </w:rPr>
        <w:t xml:space="preserve"> výzkumu, v</w:t>
      </w:r>
      <w:r>
        <w:rPr>
          <w:color w:val="000000"/>
        </w:rPr>
        <w:t xml:space="preserve">ývoje a inovací České republiky (ÚV ČR); </w:t>
      </w:r>
      <w:r w:rsidRPr="00E71AA2">
        <w:rPr>
          <w:color w:val="000000"/>
        </w:rPr>
        <w:t>Národní priority orientovaného výzkumu, experimentálního vývoje a inovací</w:t>
      </w:r>
      <w:r>
        <w:rPr>
          <w:color w:val="000000"/>
        </w:rPr>
        <w:t xml:space="preserve"> (ÚV ČR); </w:t>
      </w:r>
      <w:r w:rsidRPr="00E71AA2">
        <w:rPr>
          <w:color w:val="000000"/>
        </w:rPr>
        <w:t>Národní prog</w:t>
      </w:r>
      <w:r>
        <w:rPr>
          <w:color w:val="000000"/>
        </w:rPr>
        <w:t xml:space="preserve">ram reforem České republiky (ÚV ČR); </w:t>
      </w:r>
      <w:r w:rsidRPr="00E71AA2">
        <w:rPr>
          <w:color w:val="000000"/>
        </w:rPr>
        <w:t>Strategie mezinárodní konkurenceschopnosti České republiky pro období 2012 až 2020</w:t>
      </w:r>
      <w:r>
        <w:rPr>
          <w:color w:val="000000"/>
        </w:rPr>
        <w:t xml:space="preserve"> (MPO); </w:t>
      </w:r>
      <w:r w:rsidRPr="00E71AA2">
        <w:rPr>
          <w:color w:val="000000"/>
        </w:rPr>
        <w:t>Strategie vzdělávací politiky České republiky do roku 2020</w:t>
      </w:r>
      <w:r>
        <w:rPr>
          <w:color w:val="000000"/>
        </w:rPr>
        <w:t xml:space="preserve"> (MŠMT)</w:t>
      </w:r>
    </w:p>
  </w:footnote>
  <w:footnote w:id="40">
    <w:p w14:paraId="58151319" w14:textId="77777777" w:rsidR="00A510FD" w:rsidRDefault="00A510FD">
      <w:pPr>
        <w:pStyle w:val="Textpoznpodarou"/>
      </w:pPr>
      <w:r>
        <w:rPr>
          <w:rStyle w:val="Znakapoznpodarou"/>
        </w:rPr>
        <w:footnoteRef/>
      </w:r>
      <w:r>
        <w:t xml:space="preserve"> Národní RIS3 strategie</w:t>
      </w:r>
    </w:p>
  </w:footnote>
  <w:footnote w:id="41">
    <w:p w14:paraId="3B8A90DB" w14:textId="77777777" w:rsidR="00A510FD" w:rsidRDefault="00A510FD">
      <w:pPr>
        <w:pStyle w:val="Textpoznpodarou"/>
      </w:pPr>
      <w:r>
        <w:rPr>
          <w:rStyle w:val="Znakapoznpodarou"/>
        </w:rPr>
        <w:footnoteRef/>
      </w:r>
      <w:r>
        <w:t xml:space="preserve"> Guide to Research and Innovation Strategies for Smart Specialisation, European Commission (2012a)</w:t>
      </w:r>
    </w:p>
  </w:footnote>
  <w:footnote w:id="42">
    <w:p w14:paraId="4DE3F52E" w14:textId="77777777" w:rsidR="00A510FD" w:rsidRDefault="00A510FD" w:rsidP="00E14909">
      <w:pPr>
        <w:pStyle w:val="Textpoznpodarou"/>
      </w:pPr>
      <w:r>
        <w:rPr>
          <w:rStyle w:val="Znakapoznpodarou"/>
        </w:rPr>
        <w:footnoteRef/>
      </w:r>
      <w:r>
        <w:t xml:space="preserve"> Foray, D.: Smart Specialisation. Opportunities and challenges for regional inovation policy, 2015.</w:t>
      </w:r>
    </w:p>
  </w:footnote>
  <w:footnote w:id="43">
    <w:p w14:paraId="3D41B476" w14:textId="77777777" w:rsidR="00A510FD" w:rsidRDefault="00A510FD">
      <w:pPr>
        <w:pStyle w:val="Textpoznpodarou"/>
      </w:pPr>
      <w:r>
        <w:rPr>
          <w:rStyle w:val="Znakapoznpodarou"/>
        </w:rPr>
        <w:footnoteRef/>
      </w:r>
      <w:r>
        <w:t xml:space="preserve"> Záměrně nepoužíváme pojem respondenti, neboť uvedené závěry vycházejí nejen z dotazníkových šetření, ale také z evaluačních rozhovorů, pozorování a diskusí se stakeholdery u příležitosti různých setkání a jednání, kterých se evaluátor účastnil v průběhu celého období realizace evaluace (06/2018 – 03/2019). </w:t>
      </w:r>
    </w:p>
  </w:footnote>
  <w:footnote w:id="44">
    <w:p w14:paraId="1CB4E90A" w14:textId="77777777" w:rsidR="00A510FD" w:rsidRDefault="00A510FD">
      <w:pPr>
        <w:pStyle w:val="Textpoznpodarou"/>
      </w:pPr>
      <w:r>
        <w:rPr>
          <w:rStyle w:val="Znakapoznpodarou"/>
        </w:rPr>
        <w:footnoteRef/>
      </w:r>
      <w:r>
        <w:t xml:space="preserve"> Např. používání pojmů: znalostní doména; základní znalostní doména, národní doména výzkumné specializace; oblasti inteligentní specializace, ekonomická specializace; výzkumná specializace, aplikační oblast, aplikační odvětví, prioritní aplikační odvětví, oblast specializace, regionálně specifické specializace, klíčová odvětví, odvětví ekonomické specializace, aplikační problémy,</w:t>
      </w:r>
      <w:r w:rsidRPr="00971C61">
        <w:t xml:space="preserve"> </w:t>
      </w:r>
      <w:r>
        <w:t>aplikační příležitosti,</w:t>
      </w:r>
    </w:p>
  </w:footnote>
  <w:footnote w:id="45">
    <w:p w14:paraId="635CD3C3" w14:textId="77777777" w:rsidR="00A510FD" w:rsidRDefault="00A510FD" w:rsidP="00935F02">
      <w:pPr>
        <w:pStyle w:val="Textpoznpodarou"/>
      </w:pPr>
      <w:r>
        <w:rPr>
          <w:rStyle w:val="Znakapoznpodarou"/>
        </w:rPr>
        <w:footnoteRef/>
      </w:r>
      <w:r>
        <w:t xml:space="preserve"> Členský stát/region nemá povinnost rozvíjet všechny KETs identifikované ze strany EK, ale měl by se specializovat na ty oblasti, ve kterých vyniká a ty definovat v rámci procesu EDP. Je běžnou praxí, že regiony se specializují, resp. si vybírají, ve kterých klíčových technologiích se budou s ohledem na místní podmínky rozvíjet. (např. </w:t>
      </w:r>
      <w:r w:rsidRPr="004A6455">
        <w:rPr>
          <w:color w:val="000000" w:themeColor="text1"/>
          <w:szCs w:val="18"/>
        </w:rPr>
        <w:t>"</w:t>
      </w:r>
      <w:hyperlink r:id="rId7" w:history="1">
        <w:r w:rsidRPr="004A6455">
          <w:rPr>
            <w:rStyle w:val="Hypertextovodkaz"/>
            <w:color w:val="000000" w:themeColor="text1"/>
            <w:szCs w:val="18"/>
            <w:u w:val="none"/>
          </w:rPr>
          <w:t>Smart Stories, Implementing Smart Specialisation across Europe</w:t>
        </w:r>
      </w:hyperlink>
      <w:r w:rsidRPr="004A6455">
        <w:rPr>
          <w:color w:val="000000" w:themeColor="text1"/>
          <w:szCs w:val="18"/>
        </w:rPr>
        <w:t>" (2016</w:t>
      </w:r>
      <w:r>
        <w:rPr>
          <w:sz w:val="21"/>
          <w:szCs w:val="21"/>
        </w:rPr>
        <w:t xml:space="preserve">), </w:t>
      </w:r>
      <w:r w:rsidRPr="004A6455">
        <w:rPr>
          <w:szCs w:val="18"/>
        </w:rPr>
        <w:t>Imlementing Smart Specialisation Strategies – Handbook (2016)</w:t>
      </w:r>
      <w:r>
        <w:rPr>
          <w:szCs w:val="18"/>
        </w:rPr>
        <w:t xml:space="preserve"> a další. Dostupné na </w:t>
      </w:r>
      <w:hyperlink r:id="rId8" w:history="1">
        <w:r w:rsidRPr="00741674">
          <w:rPr>
            <w:rStyle w:val="Hypertextovodkaz"/>
            <w:szCs w:val="18"/>
          </w:rPr>
          <w:t>http://s3platform.jrc.ec.europa.eu/</w:t>
        </w:r>
      </w:hyperlink>
      <w:r>
        <w:rPr>
          <w:szCs w:val="18"/>
        </w:rPr>
        <w:t>)</w:t>
      </w:r>
      <w:r>
        <w:rPr>
          <w:sz w:val="21"/>
          <w:szCs w:val="21"/>
        </w:rPr>
        <w:t xml:space="preserve"> </w:t>
      </w:r>
    </w:p>
  </w:footnote>
  <w:footnote w:id="46">
    <w:p w14:paraId="7B34C357" w14:textId="77777777" w:rsidR="00A510FD" w:rsidRDefault="00A510FD">
      <w:pPr>
        <w:pStyle w:val="Textpoznpodarou"/>
      </w:pPr>
      <w:r>
        <w:rPr>
          <w:rStyle w:val="Znakapoznpodarou"/>
        </w:rPr>
        <w:footnoteRef/>
      </w:r>
      <w:r>
        <w:t xml:space="preserve"> Evropská komise dne 6. 4. 2018 informovala vedení Ministerstva průmyslu a obchodu o tom, že dočasně pozastavuje proplácení prostředků určených českým podnikům z OPPIK. Důvodem je vysoká chybovost v kontrolovaných projektech, kterou odhalil Auditní orgán Ministerstva financí na konci roku 2017. Ze závěrů kontrol vyplynula 14% chybovost, přičemž už 5 % se považuje za alarmující, standardem jsou pak 2 %. </w:t>
      </w:r>
    </w:p>
  </w:footnote>
  <w:footnote w:id="47">
    <w:p w14:paraId="3236E933" w14:textId="77777777" w:rsidR="00A510FD" w:rsidRDefault="00A510FD" w:rsidP="00A33BBC">
      <w:pPr>
        <w:pStyle w:val="Textpoznpodarou"/>
      </w:pPr>
      <w:r>
        <w:rPr>
          <w:rStyle w:val="Znakapoznpodarou"/>
        </w:rPr>
        <w:footnoteRef/>
      </w:r>
      <w:r>
        <w:t xml:space="preserve"> Publikace prosinec 2018</w:t>
      </w:r>
    </w:p>
  </w:footnote>
  <w:footnote w:id="48">
    <w:p w14:paraId="7F9D2875" w14:textId="77777777" w:rsidR="00A510FD" w:rsidRDefault="00A510FD">
      <w:pPr>
        <w:pStyle w:val="Textpoznpodarou"/>
      </w:pPr>
      <w:r>
        <w:rPr>
          <w:rStyle w:val="Znakapoznpodarou"/>
        </w:rPr>
        <w:footnoteRef/>
      </w:r>
      <w:r>
        <w:t xml:space="preserve"> Údaje za následující roky nebyly evaluátorovi poskytnuty a pro účely této evaluace nebyly ze strany evaluátora aktivně vyhledávány. </w:t>
      </w:r>
    </w:p>
  </w:footnote>
  <w:footnote w:id="49">
    <w:p w14:paraId="4B261607" w14:textId="77777777" w:rsidR="00A510FD" w:rsidRDefault="00A510FD">
      <w:pPr>
        <w:pStyle w:val="Textpoznpodarou"/>
      </w:pPr>
      <w:r>
        <w:rPr>
          <w:rStyle w:val="Znakapoznpodarou"/>
        </w:rPr>
        <w:footnoteRef/>
      </w:r>
      <w:r>
        <w:t xml:space="preserve"> Např. Národní RIS3 manažer, zástupce Oddělení strategie S3, interní evaluátor</w:t>
      </w:r>
    </w:p>
  </w:footnote>
  <w:footnote w:id="50">
    <w:p w14:paraId="0F27D866" w14:textId="77777777" w:rsidR="00A510FD" w:rsidRDefault="00A510FD" w:rsidP="00801932">
      <w:pPr>
        <w:pStyle w:val="Textpoznpodarou"/>
      </w:pPr>
      <w:r>
        <w:rPr>
          <w:rStyle w:val="Znakapoznpodarou"/>
        </w:rPr>
        <w:footnoteRef/>
      </w:r>
      <w:r>
        <w:t xml:space="preserve"> Jedná se o syntézu vyjádření respondentů z různých krajů, tudíž nelze zobecnit pro všechny kraje. Situace se kraj od kraje různí. </w:t>
      </w:r>
    </w:p>
  </w:footnote>
  <w:footnote w:id="51">
    <w:p w14:paraId="06A569F8" w14:textId="77777777" w:rsidR="00A510FD" w:rsidRDefault="00A510FD">
      <w:pPr>
        <w:pStyle w:val="Textpoznpodarou"/>
      </w:pPr>
      <w:r>
        <w:rPr>
          <w:rStyle w:val="Znakapoznpodarou"/>
        </w:rPr>
        <w:footnoteRef/>
      </w:r>
      <w:r>
        <w:t xml:space="preserve"> Prezentace z kulatého stolu </w:t>
      </w:r>
      <w:r w:rsidRPr="008B432C">
        <w:rPr>
          <w:bCs/>
        </w:rPr>
        <w:t>k podpoře regionálních inovačních systémů prostřednictvím výzvy Smart Akcelerátor I. a II.</w:t>
      </w:r>
      <w:r w:rsidRPr="008B432C">
        <w:rPr>
          <w:b/>
          <w:bCs/>
        </w:rPr>
        <w:t xml:space="preserve"> </w:t>
      </w:r>
      <w:r>
        <w:t>realizovaného dne 1. 2. 2018</w:t>
      </w:r>
    </w:p>
  </w:footnote>
  <w:footnote w:id="52">
    <w:p w14:paraId="12DF0951" w14:textId="77777777" w:rsidR="00A510FD" w:rsidRPr="008B432C" w:rsidRDefault="00A510FD" w:rsidP="008B432C">
      <w:pPr>
        <w:pStyle w:val="Textpoznpodarou"/>
      </w:pPr>
      <w:r>
        <w:rPr>
          <w:rStyle w:val="Znakapoznpodarou"/>
        </w:rPr>
        <w:footnoteRef/>
      </w:r>
      <w:r>
        <w:t xml:space="preserve"> Prezentace z kulatého stolu </w:t>
      </w:r>
      <w:r w:rsidRPr="008B432C">
        <w:rPr>
          <w:bCs/>
        </w:rPr>
        <w:t>k podpoře regionálních inovačních systémů prostřednictvím výzvy Smart Akcelerátor I. a II.</w:t>
      </w:r>
      <w:r w:rsidRPr="008B432C">
        <w:rPr>
          <w:b/>
          <w:bCs/>
        </w:rPr>
        <w:t xml:space="preserve"> </w:t>
      </w:r>
    </w:p>
    <w:p w14:paraId="11752113" w14:textId="77777777" w:rsidR="00A510FD" w:rsidRDefault="00A510FD" w:rsidP="005F469D">
      <w:pPr>
        <w:pStyle w:val="Textpoznpodarou"/>
      </w:pPr>
      <w:r>
        <w:t>realizovaného dne 1. 2. 2018</w:t>
      </w:r>
    </w:p>
    <w:p w14:paraId="558295AA" w14:textId="77777777" w:rsidR="00A510FD" w:rsidRDefault="00A510FD">
      <w:pPr>
        <w:pStyle w:val="Textpoznpodarou"/>
      </w:pPr>
    </w:p>
  </w:footnote>
  <w:footnote w:id="53">
    <w:p w14:paraId="0DB48AB4" w14:textId="77777777" w:rsidR="00A510FD" w:rsidRDefault="00A510FD">
      <w:pPr>
        <w:pStyle w:val="Textpoznpodarou"/>
      </w:pPr>
      <w:r>
        <w:rPr>
          <w:rStyle w:val="Znakapoznpodarou"/>
        </w:rPr>
        <w:footnoteRef/>
      </w:r>
      <w:r>
        <w:t xml:space="preserve"> Je dáno ekonomickým postavením Prahy, kdy může čerpat prostředky pouze z OP PPR. </w:t>
      </w:r>
    </w:p>
  </w:footnote>
  <w:footnote w:id="54">
    <w:p w14:paraId="6239DD1A" w14:textId="77777777" w:rsidR="00A510FD" w:rsidRPr="002106B7" w:rsidRDefault="00A510FD" w:rsidP="002106B7">
      <w:pPr>
        <w:spacing w:before="0" w:after="0" w:line="240" w:lineRule="auto"/>
        <w:rPr>
          <w:sz w:val="18"/>
          <w:szCs w:val="18"/>
          <w:lang w:bidi="ar-SA"/>
        </w:rPr>
      </w:pPr>
      <w:r>
        <w:rPr>
          <w:rStyle w:val="Znakapoznpodarou"/>
        </w:rPr>
        <w:footnoteRef/>
      </w:r>
      <w:r>
        <w:t xml:space="preserve"> </w:t>
      </w:r>
      <w:r w:rsidRPr="002106B7">
        <w:rPr>
          <w:sz w:val="18"/>
          <w:szCs w:val="18"/>
        </w:rPr>
        <w:t>Ačkoliv</w:t>
      </w:r>
      <w:r w:rsidRPr="002106B7">
        <w:rPr>
          <w:sz w:val="18"/>
          <w:szCs w:val="18"/>
          <w:lang w:bidi="ar-SA"/>
        </w:rPr>
        <w:t xml:space="preserve"> použitý způsob hodnocení efektivnosti regionálních inovační strategií není zcela exaktní a použitý indikátor by bylo možné zpochybňovat, zjištění přibližně odpovídají reálnému stavu.</w:t>
      </w:r>
    </w:p>
    <w:p w14:paraId="60E413BF" w14:textId="77777777" w:rsidR="00A510FD" w:rsidRDefault="00A510FD">
      <w:pPr>
        <w:pStyle w:val="Textpoznpodarou"/>
      </w:pPr>
    </w:p>
  </w:footnote>
  <w:footnote w:id="55">
    <w:p w14:paraId="28D67668" w14:textId="77777777" w:rsidR="00A510FD" w:rsidRDefault="00A510FD">
      <w:pPr>
        <w:pStyle w:val="Textpoznpodarou"/>
      </w:pPr>
      <w:r>
        <w:rPr>
          <w:rStyle w:val="Znakapoznpodarou"/>
        </w:rPr>
        <w:footnoteRef/>
      </w:r>
      <w:r>
        <w:t xml:space="preserve"> Krajská úroveň je detailně analyzována v předchozí kapitole, proto se zde věnujeme pouze národní úrovni implementace Národní RIS3 strategie.</w:t>
      </w:r>
    </w:p>
  </w:footnote>
  <w:footnote w:id="56">
    <w:p w14:paraId="46893C76" w14:textId="77777777" w:rsidR="00A510FD" w:rsidRDefault="00A510FD">
      <w:pPr>
        <w:pStyle w:val="Textpoznpodarou"/>
      </w:pPr>
      <w:r>
        <w:rPr>
          <w:rStyle w:val="Znakapoznpodarou"/>
        </w:rPr>
        <w:footnoteRef/>
      </w:r>
      <w:r>
        <w:t xml:space="preserve"> Viz usnesení vlády č. 809 z roku 2013</w:t>
      </w:r>
    </w:p>
  </w:footnote>
  <w:footnote w:id="57">
    <w:p w14:paraId="19E15C0D" w14:textId="77777777" w:rsidR="00A510FD" w:rsidRDefault="00A510FD">
      <w:pPr>
        <w:pStyle w:val="Textpoznpodarou"/>
      </w:pPr>
      <w:r>
        <w:rPr>
          <w:rStyle w:val="Znakapoznpodarou"/>
        </w:rPr>
        <w:footnoteRef/>
      </w:r>
      <w:r>
        <w:t xml:space="preserve"> Viz usnesení vlády č. 1028 z roku 2014</w:t>
      </w:r>
    </w:p>
  </w:footnote>
  <w:footnote w:id="58">
    <w:p w14:paraId="759528C0" w14:textId="77777777" w:rsidR="00A510FD" w:rsidRDefault="00A510FD">
      <w:pPr>
        <w:pStyle w:val="Textpoznpodarou"/>
      </w:pPr>
      <w:r>
        <w:rPr>
          <w:rStyle w:val="Znakapoznpodarou"/>
        </w:rPr>
        <w:footnoteRef/>
      </w:r>
      <w:r>
        <w:t xml:space="preserve"> Viz usnesení vlády č. 168 z roku 2018</w:t>
      </w:r>
    </w:p>
  </w:footnote>
  <w:footnote w:id="59">
    <w:p w14:paraId="76493945" w14:textId="77777777" w:rsidR="00A510FD" w:rsidRDefault="00A510FD">
      <w:pPr>
        <w:pStyle w:val="Textpoznpodarou"/>
      </w:pPr>
      <w:r>
        <w:rPr>
          <w:rStyle w:val="Znakapoznpodarou"/>
        </w:rPr>
        <w:footnoteRef/>
      </w:r>
      <w:r>
        <w:t xml:space="preserve"> Zdroj: zápisy z jednání ŘV RIS3, pozorování</w:t>
      </w:r>
    </w:p>
  </w:footnote>
  <w:footnote w:id="60">
    <w:p w14:paraId="7226FF14" w14:textId="77777777" w:rsidR="00A510FD" w:rsidRDefault="00A510FD">
      <w:pPr>
        <w:pStyle w:val="Textpoznpodarou"/>
      </w:pPr>
      <w:r>
        <w:rPr>
          <w:rStyle w:val="Znakapoznpodarou"/>
        </w:rPr>
        <w:footnoteRef/>
      </w:r>
      <w:r>
        <w:t xml:space="preserve"> Vyplynulo z výsledků dotazníkového šetření (zejména s členy NIP a krajskou úrovní) a z rozhovorů. </w:t>
      </w:r>
    </w:p>
  </w:footnote>
  <w:footnote w:id="61">
    <w:p w14:paraId="5D149B93" w14:textId="77777777" w:rsidR="00A510FD" w:rsidRDefault="00A510FD">
      <w:pPr>
        <w:pStyle w:val="Textpoznpodarou"/>
      </w:pPr>
      <w:r>
        <w:rPr>
          <w:rStyle w:val="Znakapoznpodarou"/>
        </w:rPr>
        <w:footnoteRef/>
      </w:r>
      <w:r>
        <w:t xml:space="preserve"> Národní RIS3 manažera a analytický tým, resp. Oddělení strategie S3</w:t>
      </w:r>
    </w:p>
  </w:footnote>
  <w:footnote w:id="62">
    <w:p w14:paraId="7AA1333C" w14:textId="77777777" w:rsidR="00A510FD" w:rsidRDefault="00A510FD">
      <w:pPr>
        <w:pStyle w:val="Textpoznpodarou"/>
      </w:pPr>
      <w:r>
        <w:rPr>
          <w:rStyle w:val="Znakapoznpodarou"/>
        </w:rPr>
        <w:footnoteRef/>
      </w:r>
      <w:r>
        <w:t xml:space="preserve"> Viz výsledky dotazníkového šetření (např. DOT 2 s hodnotiteli projektů, kde bylo jasně deklarováno, že „Národní RIS3 strategie je natolik široká, že každý projekt se do ní vejde, hodnocení souladu je proto pouze formální“).</w:t>
      </w:r>
    </w:p>
  </w:footnote>
  <w:footnote w:id="63">
    <w:p w14:paraId="15378706" w14:textId="77777777" w:rsidR="00A510FD" w:rsidRDefault="00A510FD" w:rsidP="00164C4B">
      <w:pPr>
        <w:pStyle w:val="Textpoznpodarou"/>
      </w:pPr>
      <w:r>
        <w:rPr>
          <w:rStyle w:val="Znakapoznpodarou"/>
        </w:rPr>
        <w:footnoteRef/>
      </w:r>
      <w:r>
        <w:t xml:space="preserve"> </w:t>
      </w:r>
      <w:hyperlink r:id="rId9" w:history="1">
        <w:r w:rsidRPr="00265B23">
          <w:rPr>
            <w:rStyle w:val="Hypertextovodkaz"/>
            <w:bCs/>
            <w:szCs w:val="22"/>
          </w:rPr>
          <w:t>http://s3platform.jrc.ec.europa.eu/entrepreneurial-discovery-edp</w:t>
        </w:r>
      </w:hyperlink>
    </w:p>
  </w:footnote>
  <w:footnote w:id="64">
    <w:p w14:paraId="0E43BF55" w14:textId="77777777" w:rsidR="00A510FD" w:rsidRDefault="00A510FD">
      <w:pPr>
        <w:pStyle w:val="Textpoznpodarou"/>
      </w:pPr>
      <w:r>
        <w:rPr>
          <w:rStyle w:val="Znakapoznpodarou"/>
        </w:rPr>
        <w:footnoteRef/>
      </w:r>
      <w:r>
        <w:t xml:space="preserve"> Národní RIS3 strategie (aktualizace 2018), Příloha 10.2</w:t>
      </w:r>
    </w:p>
  </w:footnote>
  <w:footnote w:id="65">
    <w:p w14:paraId="580FE4A9" w14:textId="77777777" w:rsidR="00A510FD" w:rsidRDefault="00A510FD" w:rsidP="00935F02">
      <w:pPr>
        <w:pStyle w:val="Textpoznpodarou"/>
      </w:pPr>
      <w:r>
        <w:rPr>
          <w:rStyle w:val="Znakapoznpodarou"/>
        </w:rPr>
        <w:footnoteRef/>
      </w:r>
      <w:r>
        <w:t xml:space="preserve"> D. Foray: Defining the entrepreneurial discovery process in the RIS3 framework; Pisa workshop 2014 </w:t>
      </w:r>
    </w:p>
  </w:footnote>
  <w:footnote w:id="66">
    <w:p w14:paraId="74C41DDA" w14:textId="77777777" w:rsidR="00A510FD" w:rsidRDefault="00A510FD">
      <w:pPr>
        <w:pStyle w:val="Textpoznpodarou"/>
      </w:pPr>
      <w:r>
        <w:rPr>
          <w:rStyle w:val="Znakapoznpodarou"/>
        </w:rPr>
        <w:footnoteRef/>
      </w:r>
      <w:r>
        <w:t xml:space="preserve"> Viz hodnocení znalosti Národní RIS3 strategie příjemci podpory v rámci dotazníkových šetření.</w:t>
      </w:r>
    </w:p>
  </w:footnote>
  <w:footnote w:id="67">
    <w:p w14:paraId="22BA3B11" w14:textId="77777777" w:rsidR="00A510FD" w:rsidRDefault="00A510FD">
      <w:pPr>
        <w:pStyle w:val="Textpoznpodarou"/>
      </w:pPr>
      <w:r>
        <w:rPr>
          <w:rStyle w:val="Znakapoznpodarou"/>
        </w:rPr>
        <w:footnoteRef/>
      </w:r>
      <w:r>
        <w:t xml:space="preserve"> Výzvy vyhlášené před schválením aktualizace Národní RIS3 strategie (tedy před datem 11. 7. 2016) se řídí materiálem „Koncepční přístup ŘO OP VVV k implementaci RIS3 Národní strategie“. Výzvy vyhlášené po tomto datu se řídí „</w:t>
      </w:r>
      <w:r>
        <w:rPr>
          <w:rFonts w:asciiTheme="majorHAnsi" w:eastAsia="Geneva" w:hAnsiTheme="majorHAnsi"/>
          <w:bCs/>
          <w:iCs/>
        </w:rPr>
        <w:t>Podkladovým materiálem pro implementaci RIS3 strategie“.</w:t>
      </w:r>
      <w:r>
        <w:t xml:space="preserve"> </w:t>
      </w:r>
    </w:p>
  </w:footnote>
  <w:footnote w:id="68">
    <w:p w14:paraId="5D78D337" w14:textId="77777777" w:rsidR="00A510FD" w:rsidRDefault="00A510FD">
      <w:pPr>
        <w:pStyle w:val="Textpoznpodarou"/>
      </w:pPr>
      <w:r>
        <w:rPr>
          <w:rStyle w:val="Znakapoznpodarou"/>
        </w:rPr>
        <w:footnoteRef/>
      </w:r>
      <w:r>
        <w:t xml:space="preserve"> </w:t>
      </w:r>
      <w:r>
        <w:rPr>
          <w:rFonts w:asciiTheme="majorHAnsi" w:eastAsia="Geneva" w:hAnsiTheme="majorHAnsi"/>
          <w:bCs/>
          <w:iCs/>
        </w:rPr>
        <w:t xml:space="preserve">Podkladový materiál pro implementaci RIS3 strategie v Operačním programu Podnikání a inovace pro konkurenceschopnost 2014-2020, MPO. </w:t>
      </w:r>
    </w:p>
  </w:footnote>
  <w:footnote w:id="69">
    <w:p w14:paraId="7F4BCF3A" w14:textId="77777777" w:rsidR="00A510FD" w:rsidRDefault="00A510FD">
      <w:pPr>
        <w:pStyle w:val="Textpoznpodarou"/>
      </w:pPr>
      <w:r>
        <w:rPr>
          <w:rStyle w:val="Znakapoznpodarou"/>
        </w:rPr>
        <w:footnoteRef/>
      </w:r>
      <w:r>
        <w:t xml:space="preserve"> </w:t>
      </w:r>
      <w:r>
        <w:rPr>
          <w:rFonts w:asciiTheme="majorHAnsi" w:eastAsia="Geneva" w:hAnsiTheme="majorHAnsi"/>
          <w:bCs/>
          <w:iCs/>
        </w:rPr>
        <w:t>Podkladový materiál pro implementaci RIS3 strategie, MŠMT.</w:t>
      </w:r>
    </w:p>
  </w:footnote>
  <w:footnote w:id="70">
    <w:p w14:paraId="1A59D3A4" w14:textId="77777777" w:rsidR="00A510FD" w:rsidRDefault="00A510FD">
      <w:pPr>
        <w:pStyle w:val="Textpoznpodarou"/>
      </w:pPr>
      <w:r>
        <w:rPr>
          <w:rStyle w:val="Znakapoznpodarou"/>
        </w:rPr>
        <w:footnoteRef/>
      </w:r>
      <w:r>
        <w:t xml:space="preserve"> </w:t>
      </w:r>
      <w:r>
        <w:rPr>
          <w:rFonts w:asciiTheme="majorHAnsi" w:eastAsia="Geneva" w:hAnsiTheme="majorHAnsi"/>
          <w:bCs/>
          <w:iCs/>
        </w:rPr>
        <w:t xml:space="preserve">Posouzení souladu projektu s Národní RIS3 strategií a Regionální inovační strategií hl. m. Prahy, Magistrát hl. m. Prahy.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41B9B" w14:textId="77777777" w:rsidR="00170EBC" w:rsidRDefault="00170EBC" w:rsidP="009D509F">
    <w:pPr>
      <w:pStyle w:val="Zhlav"/>
      <w:jc w:val="right"/>
      <w:rPr>
        <w:sz w:val="20"/>
      </w:rPr>
    </w:pPr>
    <w:r>
      <w:rPr>
        <w:noProof/>
        <w:sz w:val="20"/>
        <w:lang w:eastAsia="cs-CZ" w:bidi="ar-SA"/>
      </w:rPr>
      <w:drawing>
        <wp:anchor distT="0" distB="0" distL="114300" distR="114300" simplePos="0" relativeHeight="251671552" behindDoc="1" locked="0" layoutInCell="1" allowOverlap="1" wp14:anchorId="22D2F320" wp14:editId="11C5D35E">
          <wp:simplePos x="0" y="0"/>
          <wp:positionH relativeFrom="column">
            <wp:posOffset>-156845</wp:posOffset>
          </wp:positionH>
          <wp:positionV relativeFrom="paragraph">
            <wp:posOffset>-87630</wp:posOffset>
          </wp:positionV>
          <wp:extent cx="988695" cy="466725"/>
          <wp:effectExtent l="19050" t="0" r="1905" b="0"/>
          <wp:wrapSquare wrapText="bothSides"/>
          <wp:docPr id="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88695" cy="4667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anchor>
      </w:drawing>
    </w:r>
  </w:p>
  <w:p w14:paraId="4323D1C4" w14:textId="77777777" w:rsidR="00170EBC" w:rsidRPr="00E35CCE" w:rsidRDefault="00170EBC" w:rsidP="009D509F">
    <w:pPr>
      <w:pStyle w:val="Zhlav"/>
      <w:jc w:val="right"/>
      <w:rPr>
        <w:sz w:val="20"/>
      </w:rPr>
    </w:pPr>
    <w:r w:rsidRPr="00E35CCE">
      <w:rPr>
        <w:sz w:val="20"/>
      </w:rPr>
      <w:t xml:space="preserve">Mid-term evaluace </w:t>
    </w:r>
    <w:r>
      <w:rPr>
        <w:sz w:val="20"/>
      </w:rPr>
      <w:t xml:space="preserve">Národní </w:t>
    </w:r>
    <w:r w:rsidRPr="00E35CCE">
      <w:rPr>
        <w:sz w:val="20"/>
      </w:rPr>
      <w:t>RIS3 strategie</w:t>
    </w:r>
  </w:p>
  <w:p w14:paraId="5033187B" w14:textId="77777777" w:rsidR="00170EBC" w:rsidRPr="009D509F" w:rsidRDefault="00170EBC" w:rsidP="009D509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D573D" w14:textId="70B69CFA" w:rsidR="002A2C46" w:rsidRDefault="002A2C46" w:rsidP="002A2C46">
    <w:pPr>
      <w:pStyle w:val="Zhlav"/>
      <w:jc w:val="right"/>
    </w:pPr>
    <w:r>
      <w:t>II.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9568A" w14:textId="77777777" w:rsidR="00A510FD" w:rsidRDefault="00A510FD" w:rsidP="009D509F">
    <w:pPr>
      <w:pStyle w:val="Zhlav"/>
      <w:jc w:val="right"/>
      <w:rPr>
        <w:sz w:val="20"/>
      </w:rPr>
    </w:pPr>
    <w:r>
      <w:rPr>
        <w:noProof/>
        <w:sz w:val="20"/>
        <w:lang w:eastAsia="cs-CZ" w:bidi="ar-SA"/>
      </w:rPr>
      <w:drawing>
        <wp:anchor distT="0" distB="0" distL="114300" distR="114300" simplePos="0" relativeHeight="251669504" behindDoc="1" locked="0" layoutInCell="1" allowOverlap="1" wp14:anchorId="472A06E7" wp14:editId="3257AD67">
          <wp:simplePos x="0" y="0"/>
          <wp:positionH relativeFrom="column">
            <wp:posOffset>-156845</wp:posOffset>
          </wp:positionH>
          <wp:positionV relativeFrom="paragraph">
            <wp:posOffset>-87630</wp:posOffset>
          </wp:positionV>
          <wp:extent cx="988695" cy="466725"/>
          <wp:effectExtent l="19050" t="0" r="1905" b="0"/>
          <wp:wrapSquare wrapText="bothSides"/>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88695" cy="4667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anchor>
      </w:drawing>
    </w:r>
  </w:p>
  <w:p w14:paraId="7FD9E25E" w14:textId="77777777" w:rsidR="00A510FD" w:rsidRPr="00E35CCE" w:rsidRDefault="00A510FD" w:rsidP="009D509F">
    <w:pPr>
      <w:pStyle w:val="Zhlav"/>
      <w:jc w:val="right"/>
      <w:rPr>
        <w:sz w:val="20"/>
      </w:rPr>
    </w:pPr>
    <w:r w:rsidRPr="00E35CCE">
      <w:rPr>
        <w:sz w:val="20"/>
      </w:rPr>
      <w:t xml:space="preserve">Mid-term evaluace </w:t>
    </w:r>
    <w:r>
      <w:rPr>
        <w:sz w:val="20"/>
      </w:rPr>
      <w:t xml:space="preserve">Národní </w:t>
    </w:r>
    <w:r w:rsidRPr="00E35CCE">
      <w:rPr>
        <w:sz w:val="20"/>
      </w:rPr>
      <w:t>RIS3 strategie</w:t>
    </w:r>
  </w:p>
  <w:p w14:paraId="64CE2243" w14:textId="77777777" w:rsidR="00A510FD" w:rsidRPr="009D509F" w:rsidRDefault="00A510FD" w:rsidP="009D509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RTF_Num 22222"/>
    <w:lvl w:ilvl="0">
      <w:start w:val="5"/>
      <w:numFmt w:val="bullet"/>
      <w:lvlText w:val=""/>
      <w:lvlJc w:val="left"/>
      <w:pPr>
        <w:tabs>
          <w:tab w:val="num" w:pos="360"/>
        </w:tabs>
        <w:ind w:left="360" w:hanging="360"/>
      </w:pPr>
      <w:rPr>
        <w:rFonts w:ascii="Symbol" w:hAnsi="Symbol" w:cs="Times New Roman"/>
      </w:rPr>
    </w:lvl>
  </w:abstractNum>
  <w:abstractNum w:abstractNumId="1" w15:restartNumberingAfterBreak="0">
    <w:nsid w:val="00000003"/>
    <w:multiLevelType w:val="multilevel"/>
    <w:tmpl w:val="00000003"/>
    <w:name w:val="WW8Num2"/>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cs="Courier New"/>
      </w:rPr>
    </w:lvl>
    <w:lvl w:ilvl="2">
      <w:start w:val="1"/>
      <w:numFmt w:val="bullet"/>
      <w:lvlText w:val=""/>
      <w:lvlJc w:val="left"/>
      <w:pPr>
        <w:tabs>
          <w:tab w:val="num" w:pos="1080"/>
        </w:tabs>
        <w:ind w:left="1080" w:hanging="360"/>
      </w:pPr>
      <w:rPr>
        <w:rFonts w:ascii="Symbol" w:hAnsi="Symbol" w:cs="Courier New"/>
      </w:rPr>
    </w:lvl>
    <w:lvl w:ilvl="3">
      <w:start w:val="1"/>
      <w:numFmt w:val="bullet"/>
      <w:lvlText w:val=""/>
      <w:lvlJc w:val="left"/>
      <w:pPr>
        <w:tabs>
          <w:tab w:val="num" w:pos="1440"/>
        </w:tabs>
        <w:ind w:left="1440" w:hanging="360"/>
      </w:pPr>
      <w:rPr>
        <w:rFonts w:ascii="Symbol" w:hAnsi="Symbol" w:cs="Courier New"/>
      </w:rPr>
    </w:lvl>
    <w:lvl w:ilvl="4">
      <w:start w:val="1"/>
      <w:numFmt w:val="bullet"/>
      <w:lvlText w:val=""/>
      <w:lvlJc w:val="left"/>
      <w:pPr>
        <w:tabs>
          <w:tab w:val="num" w:pos="1800"/>
        </w:tabs>
        <w:ind w:left="1800" w:hanging="360"/>
      </w:pPr>
      <w:rPr>
        <w:rFonts w:ascii="Symbol" w:hAnsi="Symbol" w:cs="Courier New"/>
      </w:rPr>
    </w:lvl>
    <w:lvl w:ilvl="5">
      <w:start w:val="1"/>
      <w:numFmt w:val="bullet"/>
      <w:lvlText w:val=""/>
      <w:lvlJc w:val="left"/>
      <w:pPr>
        <w:tabs>
          <w:tab w:val="num" w:pos="2160"/>
        </w:tabs>
        <w:ind w:left="2160" w:hanging="360"/>
      </w:pPr>
      <w:rPr>
        <w:rFonts w:ascii="Symbol" w:hAnsi="Symbol" w:cs="Courier New"/>
      </w:rPr>
    </w:lvl>
    <w:lvl w:ilvl="6">
      <w:start w:val="1"/>
      <w:numFmt w:val="bullet"/>
      <w:lvlText w:val=""/>
      <w:lvlJc w:val="left"/>
      <w:pPr>
        <w:tabs>
          <w:tab w:val="num" w:pos="2520"/>
        </w:tabs>
        <w:ind w:left="2520" w:hanging="360"/>
      </w:pPr>
      <w:rPr>
        <w:rFonts w:ascii="Symbol" w:hAnsi="Symbol" w:cs="Courier New"/>
      </w:rPr>
    </w:lvl>
    <w:lvl w:ilvl="7">
      <w:start w:val="1"/>
      <w:numFmt w:val="bullet"/>
      <w:lvlText w:val=""/>
      <w:lvlJc w:val="left"/>
      <w:pPr>
        <w:tabs>
          <w:tab w:val="num" w:pos="2880"/>
        </w:tabs>
        <w:ind w:left="2880" w:hanging="360"/>
      </w:pPr>
      <w:rPr>
        <w:rFonts w:ascii="Symbol" w:hAnsi="Symbol" w:cs="Courier New"/>
      </w:rPr>
    </w:lvl>
    <w:lvl w:ilvl="8">
      <w:start w:val="1"/>
      <w:numFmt w:val="bullet"/>
      <w:lvlText w:val=""/>
      <w:lvlJc w:val="left"/>
      <w:pPr>
        <w:tabs>
          <w:tab w:val="num" w:pos="3240"/>
        </w:tabs>
        <w:ind w:left="3240" w:hanging="360"/>
      </w:pPr>
      <w:rPr>
        <w:rFonts w:ascii="Symbol" w:hAnsi="Symbol" w:cs="Courier New"/>
      </w:rPr>
    </w:lvl>
  </w:abstractNum>
  <w:abstractNum w:abstractNumId="2" w15:restartNumberingAfterBreak="0">
    <w:nsid w:val="00000004"/>
    <w:multiLevelType w:val="multilevel"/>
    <w:tmpl w:val="00000004"/>
    <w:name w:val="WW8Num3"/>
    <w:lvl w:ilvl="0">
      <w:start w:val="1"/>
      <w:numFmt w:val="bullet"/>
      <w:lvlText w:val=""/>
      <w:lvlJc w:val="left"/>
      <w:pPr>
        <w:tabs>
          <w:tab w:val="num" w:pos="405"/>
        </w:tabs>
        <w:ind w:left="405"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05"/>
    <w:multiLevelType w:val="multilevel"/>
    <w:tmpl w:val="F1DE6350"/>
    <w:name w:val="WW8Num4"/>
    <w:lvl w:ilvl="0">
      <w:start w:val="1"/>
      <w:numFmt w:val="decimal"/>
      <w:lvlText w:val="%1."/>
      <w:lvlJc w:val="left"/>
      <w:pPr>
        <w:tabs>
          <w:tab w:val="num" w:pos="720"/>
        </w:tabs>
        <w:ind w:left="0" w:firstLine="0"/>
      </w:pPr>
      <w:rPr>
        <w:rFonts w:hint="default"/>
      </w:rPr>
    </w:lvl>
    <w:lvl w:ilvl="1">
      <w:start w:val="1"/>
      <w:numFmt w:val="lowerLetter"/>
      <w:lvlText w:val="%2) "/>
      <w:lvlJc w:val="left"/>
      <w:pPr>
        <w:tabs>
          <w:tab w:val="num" w:pos="1247"/>
        </w:tabs>
        <w:ind w:left="1247" w:hanging="396"/>
      </w:pPr>
      <w:rPr>
        <w:rFonts w:hint="default"/>
      </w:rPr>
    </w:lvl>
    <w:lvl w:ilvl="2">
      <w:start w:val="1"/>
      <w:numFmt w:val="lowerLetter"/>
      <w:lvlText w:val="(%3)"/>
      <w:lvlJc w:val="left"/>
      <w:pPr>
        <w:tabs>
          <w:tab w:val="num" w:pos="2340"/>
        </w:tabs>
        <w:ind w:left="0" w:firstLine="0"/>
      </w:pPr>
      <w:rPr>
        <w:rFonts w:hint="default"/>
      </w:rPr>
    </w:lvl>
    <w:lvl w:ilvl="3">
      <w:start w:val="4"/>
      <w:numFmt w:val="lowerLetter"/>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 w15:restartNumberingAfterBreak="0">
    <w:nsid w:val="00000007"/>
    <w:multiLevelType w:val="multilevel"/>
    <w:tmpl w:val="5056638C"/>
    <w:name w:val="WW8Num5"/>
    <w:lvl w:ilvl="0">
      <w:start w:val="1"/>
      <w:numFmt w:val="upperRoman"/>
      <w:lvlText w:val="%1."/>
      <w:lvlJc w:val="center"/>
      <w:pPr>
        <w:tabs>
          <w:tab w:val="num" w:pos="4500"/>
        </w:tabs>
      </w:pPr>
      <w:rPr>
        <w:rFonts w:cs="Times New Roman" w:hint="default"/>
        <w:b/>
        <w:bCs/>
      </w:rPr>
    </w:lvl>
    <w:lvl w:ilvl="1">
      <w:start w:val="1"/>
      <w:numFmt w:val="decimal"/>
      <w:lvlText w:val="%2."/>
      <w:lvlJc w:val="left"/>
      <w:pPr>
        <w:tabs>
          <w:tab w:val="num" w:pos="144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 w15:restartNumberingAfterBreak="0">
    <w:nsid w:val="009C0427"/>
    <w:multiLevelType w:val="hybridMultilevel"/>
    <w:tmpl w:val="0882B3F4"/>
    <w:name w:val="WW8Num7"/>
    <w:lvl w:ilvl="0" w:tplc="E93EA036">
      <w:start w:val="1"/>
      <w:numFmt w:val="bullet"/>
      <w:lvlText w:val=""/>
      <w:lvlJc w:val="left"/>
      <w:pPr>
        <w:ind w:left="720" w:hanging="360"/>
      </w:pPr>
      <w:rPr>
        <w:rFonts w:ascii="Wingdings" w:hAnsi="Wingdings" w:hint="default"/>
        <w:color w:val="000090"/>
        <w:u w:color="FFFFFF" w:themeColor="background1"/>
      </w:rPr>
    </w:lvl>
    <w:lvl w:ilvl="1" w:tplc="D67CEC0A">
      <w:numFmt w:val="bullet"/>
      <w:lvlText w:val="-"/>
      <w:lvlJc w:val="left"/>
      <w:pPr>
        <w:ind w:left="1440" w:hanging="360"/>
      </w:pPr>
      <w:rPr>
        <w:rFonts w:ascii="Calibri" w:eastAsiaTheme="minorEastAsia" w:hAnsi="Calibri" w:cs="Calibri" w:hint="default"/>
      </w:rPr>
    </w:lvl>
    <w:lvl w:ilvl="2" w:tplc="D4C62824" w:tentative="1">
      <w:start w:val="1"/>
      <w:numFmt w:val="bullet"/>
      <w:lvlText w:val=""/>
      <w:lvlJc w:val="left"/>
      <w:pPr>
        <w:ind w:left="2160" w:hanging="360"/>
      </w:pPr>
      <w:rPr>
        <w:rFonts w:ascii="Wingdings" w:hAnsi="Wingdings" w:hint="default"/>
      </w:rPr>
    </w:lvl>
    <w:lvl w:ilvl="3" w:tplc="579A101A" w:tentative="1">
      <w:start w:val="1"/>
      <w:numFmt w:val="bullet"/>
      <w:lvlText w:val=""/>
      <w:lvlJc w:val="left"/>
      <w:pPr>
        <w:ind w:left="2880" w:hanging="360"/>
      </w:pPr>
      <w:rPr>
        <w:rFonts w:ascii="Symbol" w:hAnsi="Symbol" w:hint="default"/>
      </w:rPr>
    </w:lvl>
    <w:lvl w:ilvl="4" w:tplc="05B07F2C" w:tentative="1">
      <w:start w:val="1"/>
      <w:numFmt w:val="bullet"/>
      <w:lvlText w:val="o"/>
      <w:lvlJc w:val="left"/>
      <w:pPr>
        <w:ind w:left="3600" w:hanging="360"/>
      </w:pPr>
      <w:rPr>
        <w:rFonts w:ascii="Courier New" w:hAnsi="Courier New" w:cs="Courier New" w:hint="default"/>
      </w:rPr>
    </w:lvl>
    <w:lvl w:ilvl="5" w:tplc="2BBE8358" w:tentative="1">
      <w:start w:val="1"/>
      <w:numFmt w:val="bullet"/>
      <w:lvlText w:val=""/>
      <w:lvlJc w:val="left"/>
      <w:pPr>
        <w:ind w:left="4320" w:hanging="360"/>
      </w:pPr>
      <w:rPr>
        <w:rFonts w:ascii="Wingdings" w:hAnsi="Wingdings" w:hint="default"/>
      </w:rPr>
    </w:lvl>
    <w:lvl w:ilvl="6" w:tplc="6538A4CE" w:tentative="1">
      <w:start w:val="1"/>
      <w:numFmt w:val="bullet"/>
      <w:lvlText w:val=""/>
      <w:lvlJc w:val="left"/>
      <w:pPr>
        <w:ind w:left="5040" w:hanging="360"/>
      </w:pPr>
      <w:rPr>
        <w:rFonts w:ascii="Symbol" w:hAnsi="Symbol" w:hint="default"/>
      </w:rPr>
    </w:lvl>
    <w:lvl w:ilvl="7" w:tplc="EAD6AF2E" w:tentative="1">
      <w:start w:val="1"/>
      <w:numFmt w:val="bullet"/>
      <w:lvlText w:val="o"/>
      <w:lvlJc w:val="left"/>
      <w:pPr>
        <w:ind w:left="5760" w:hanging="360"/>
      </w:pPr>
      <w:rPr>
        <w:rFonts w:ascii="Courier New" w:hAnsi="Courier New" w:cs="Courier New" w:hint="default"/>
      </w:rPr>
    </w:lvl>
    <w:lvl w:ilvl="8" w:tplc="EC284CB2" w:tentative="1">
      <w:start w:val="1"/>
      <w:numFmt w:val="bullet"/>
      <w:lvlText w:val=""/>
      <w:lvlJc w:val="left"/>
      <w:pPr>
        <w:ind w:left="6480" w:hanging="360"/>
      </w:pPr>
      <w:rPr>
        <w:rFonts w:ascii="Wingdings" w:hAnsi="Wingdings" w:hint="default"/>
      </w:rPr>
    </w:lvl>
  </w:abstractNum>
  <w:abstractNum w:abstractNumId="6" w15:restartNumberingAfterBreak="0">
    <w:nsid w:val="03F9170F"/>
    <w:multiLevelType w:val="hybridMultilevel"/>
    <w:tmpl w:val="775C7A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5DF5B2D"/>
    <w:multiLevelType w:val="hybridMultilevel"/>
    <w:tmpl w:val="10B2CB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6550817"/>
    <w:multiLevelType w:val="hybridMultilevel"/>
    <w:tmpl w:val="E1DEA4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6730CED"/>
    <w:multiLevelType w:val="multilevel"/>
    <w:tmpl w:val="00000002"/>
    <w:name w:val="RTF_Num 225"/>
    <w:lvl w:ilvl="0">
      <w:start w:val="1"/>
      <w:numFmt w:val="decimal"/>
      <w:lvlText w:val="%1."/>
      <w:lvlJc w:val="left"/>
      <w:pPr>
        <w:tabs>
          <w:tab w:val="num" w:pos="720"/>
        </w:tabs>
      </w:pPr>
      <w:rPr>
        <w:rFonts w:ascii="Symbol" w:eastAsia="Symbol" w:hAnsi="Symbol" w:cs="Symbol"/>
      </w:rPr>
    </w:lvl>
    <w:lvl w:ilvl="1">
      <w:start w:val="1"/>
      <w:numFmt w:val="decimal"/>
      <w:lvlText w:val="%2."/>
      <w:lvlJc w:val="left"/>
      <w:pPr>
        <w:tabs>
          <w:tab w:val="num" w:pos="1080"/>
        </w:tabs>
      </w:pPr>
      <w:rPr>
        <w:rFonts w:ascii="Courier New" w:eastAsia="Courier New" w:hAnsi="Courier New" w:cs="Courier New"/>
      </w:rPr>
    </w:lvl>
    <w:lvl w:ilvl="2">
      <w:start w:val="1"/>
      <w:numFmt w:val="decimal"/>
      <w:lvlText w:val="%3."/>
      <w:lvlJc w:val="left"/>
      <w:pPr>
        <w:tabs>
          <w:tab w:val="num" w:pos="1440"/>
        </w:tabs>
      </w:pPr>
      <w:rPr>
        <w:rFonts w:ascii="Wingdings" w:eastAsia="Wingdings" w:hAnsi="Wingdings" w:cs="Wingdings"/>
      </w:rPr>
    </w:lvl>
    <w:lvl w:ilvl="3">
      <w:start w:val="1"/>
      <w:numFmt w:val="decimal"/>
      <w:lvlText w:val="%4."/>
      <w:lvlJc w:val="left"/>
      <w:pPr>
        <w:tabs>
          <w:tab w:val="num" w:pos="1800"/>
        </w:tabs>
      </w:pPr>
      <w:rPr>
        <w:rFonts w:ascii="Symbol" w:eastAsia="Symbol" w:hAnsi="Symbol" w:cs="Symbol"/>
      </w:rPr>
    </w:lvl>
    <w:lvl w:ilvl="4">
      <w:start w:val="1"/>
      <w:numFmt w:val="decimal"/>
      <w:lvlText w:val="%5."/>
      <w:lvlJc w:val="left"/>
      <w:pPr>
        <w:tabs>
          <w:tab w:val="num" w:pos="2160"/>
        </w:tabs>
      </w:pPr>
      <w:rPr>
        <w:rFonts w:ascii="Courier New" w:eastAsia="Courier New" w:hAnsi="Courier New" w:cs="Courier New"/>
      </w:rPr>
    </w:lvl>
    <w:lvl w:ilvl="5">
      <w:start w:val="1"/>
      <w:numFmt w:val="decimal"/>
      <w:lvlText w:val="%6."/>
      <w:lvlJc w:val="left"/>
      <w:pPr>
        <w:tabs>
          <w:tab w:val="num" w:pos="2520"/>
        </w:tabs>
      </w:pPr>
      <w:rPr>
        <w:rFonts w:ascii="Wingdings" w:eastAsia="Wingdings" w:hAnsi="Wingdings" w:cs="Wingdings"/>
      </w:rPr>
    </w:lvl>
    <w:lvl w:ilvl="6">
      <w:start w:val="1"/>
      <w:numFmt w:val="decimal"/>
      <w:lvlText w:val="%7."/>
      <w:lvlJc w:val="left"/>
      <w:pPr>
        <w:tabs>
          <w:tab w:val="num" w:pos="2880"/>
        </w:tabs>
      </w:pPr>
      <w:rPr>
        <w:rFonts w:ascii="Symbol" w:eastAsia="Symbol" w:hAnsi="Symbol" w:cs="Symbol"/>
      </w:rPr>
    </w:lvl>
    <w:lvl w:ilvl="7">
      <w:start w:val="1"/>
      <w:numFmt w:val="decimal"/>
      <w:lvlText w:val="%8."/>
      <w:lvlJc w:val="left"/>
      <w:pPr>
        <w:tabs>
          <w:tab w:val="num" w:pos="3240"/>
        </w:tabs>
      </w:pPr>
      <w:rPr>
        <w:rFonts w:ascii="Courier New" w:eastAsia="Courier New" w:hAnsi="Courier New" w:cs="Courier New"/>
      </w:rPr>
    </w:lvl>
    <w:lvl w:ilvl="8">
      <w:start w:val="1"/>
      <w:numFmt w:val="decimal"/>
      <w:lvlText w:val="%9."/>
      <w:lvlJc w:val="left"/>
      <w:pPr>
        <w:tabs>
          <w:tab w:val="num" w:pos="3600"/>
        </w:tabs>
      </w:pPr>
      <w:rPr>
        <w:rFonts w:ascii="Wingdings" w:eastAsia="Wingdings" w:hAnsi="Wingdings" w:cs="Wingdings"/>
      </w:rPr>
    </w:lvl>
  </w:abstractNum>
  <w:abstractNum w:abstractNumId="10" w15:restartNumberingAfterBreak="0">
    <w:nsid w:val="09FC4C4C"/>
    <w:multiLevelType w:val="hybridMultilevel"/>
    <w:tmpl w:val="BA0C140E"/>
    <w:name w:val="RTF_Num 22223"/>
    <w:lvl w:ilvl="0" w:tplc="1CE26080">
      <w:start w:val="1"/>
      <w:numFmt w:val="lowerLetter"/>
      <w:lvlText w:val="%1)"/>
      <w:lvlJc w:val="left"/>
      <w:pPr>
        <w:ind w:left="720" w:hanging="360"/>
      </w:pPr>
      <w:rPr>
        <w:rFonts w:hint="default"/>
      </w:rPr>
    </w:lvl>
    <w:lvl w:ilvl="1" w:tplc="86F87FBE">
      <w:start w:val="1"/>
      <w:numFmt w:val="decimal"/>
      <w:lvlText w:val="%2."/>
      <w:lvlJc w:val="left"/>
      <w:pPr>
        <w:ind w:left="1440" w:hanging="360"/>
      </w:pPr>
      <w:rPr>
        <w:rFonts w:hint="default"/>
      </w:rPr>
    </w:lvl>
    <w:lvl w:ilvl="2" w:tplc="43882D78">
      <w:start w:val="1"/>
      <w:numFmt w:val="decimal"/>
      <w:lvlText w:val="%3)"/>
      <w:lvlJc w:val="left"/>
      <w:pPr>
        <w:ind w:left="2340" w:hanging="360"/>
      </w:pPr>
      <w:rPr>
        <w:rFonts w:hint="default"/>
      </w:rPr>
    </w:lvl>
    <w:lvl w:ilvl="3" w:tplc="E2CC2BD4">
      <w:numFmt w:val="bullet"/>
      <w:lvlText w:val="•"/>
      <w:lvlJc w:val="left"/>
      <w:pPr>
        <w:ind w:left="2880" w:hanging="360"/>
      </w:pPr>
      <w:rPr>
        <w:rFonts w:ascii="Calibri" w:eastAsia="MS Mincho" w:hAnsi="Calibri" w:cs="Times New Roman" w:hint="default"/>
      </w:rPr>
    </w:lvl>
    <w:lvl w:ilvl="4" w:tplc="F2EA9F4C">
      <w:start w:val="1"/>
      <w:numFmt w:val="upperRoman"/>
      <w:lvlText w:val="%5."/>
      <w:lvlJc w:val="left"/>
      <w:pPr>
        <w:ind w:left="3960" w:hanging="720"/>
      </w:pPr>
      <w:rPr>
        <w:rFonts w:hint="default"/>
      </w:rPr>
    </w:lvl>
    <w:lvl w:ilvl="5" w:tplc="CD943DA4" w:tentative="1">
      <w:start w:val="1"/>
      <w:numFmt w:val="lowerRoman"/>
      <w:lvlText w:val="%6."/>
      <w:lvlJc w:val="right"/>
      <w:pPr>
        <w:ind w:left="4320" w:hanging="180"/>
      </w:pPr>
    </w:lvl>
    <w:lvl w:ilvl="6" w:tplc="179E8B70" w:tentative="1">
      <w:start w:val="1"/>
      <w:numFmt w:val="decimal"/>
      <w:lvlText w:val="%7."/>
      <w:lvlJc w:val="left"/>
      <w:pPr>
        <w:ind w:left="5040" w:hanging="360"/>
      </w:pPr>
    </w:lvl>
    <w:lvl w:ilvl="7" w:tplc="ADD411E6" w:tentative="1">
      <w:start w:val="1"/>
      <w:numFmt w:val="lowerLetter"/>
      <w:lvlText w:val="%8."/>
      <w:lvlJc w:val="left"/>
      <w:pPr>
        <w:ind w:left="5760" w:hanging="360"/>
      </w:pPr>
    </w:lvl>
    <w:lvl w:ilvl="8" w:tplc="E0A0D7C4" w:tentative="1">
      <w:start w:val="1"/>
      <w:numFmt w:val="lowerRoman"/>
      <w:lvlText w:val="%9."/>
      <w:lvlJc w:val="right"/>
      <w:pPr>
        <w:ind w:left="6480" w:hanging="180"/>
      </w:pPr>
    </w:lvl>
  </w:abstractNum>
  <w:abstractNum w:abstractNumId="11" w15:restartNumberingAfterBreak="0">
    <w:nsid w:val="0A7E26A1"/>
    <w:multiLevelType w:val="hybridMultilevel"/>
    <w:tmpl w:val="CB4A926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BD81FAD"/>
    <w:multiLevelType w:val="hybridMultilevel"/>
    <w:tmpl w:val="F306C4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C956063"/>
    <w:multiLevelType w:val="hybridMultilevel"/>
    <w:tmpl w:val="1EE0CA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D756DEB"/>
    <w:multiLevelType w:val="hybridMultilevel"/>
    <w:tmpl w:val="0C00AA3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0ECC55D3"/>
    <w:multiLevelType w:val="hybridMultilevel"/>
    <w:tmpl w:val="EA8479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3583CDF"/>
    <w:multiLevelType w:val="hybridMultilevel"/>
    <w:tmpl w:val="0BD8DD90"/>
    <w:name w:val="WW8Num62"/>
    <w:lvl w:ilvl="0" w:tplc="0405000F">
      <w:start w:val="1"/>
      <w:numFmt w:val="bullet"/>
      <w:lvlText w:val=""/>
      <w:lvlJc w:val="left"/>
      <w:pPr>
        <w:ind w:left="720" w:hanging="360"/>
      </w:pPr>
      <w:rPr>
        <w:rFonts w:ascii="Wingdings" w:hAnsi="Wingdings" w:hint="default"/>
        <w:color w:val="372C74"/>
        <w:u w:color="FFFFFF"/>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1744E2F0"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7" w15:restartNumberingAfterBreak="0">
    <w:nsid w:val="1474582A"/>
    <w:multiLevelType w:val="hybridMultilevel"/>
    <w:tmpl w:val="6C208F72"/>
    <w:lvl w:ilvl="0" w:tplc="04050001">
      <w:start w:val="1"/>
      <w:numFmt w:val="bullet"/>
      <w:lvlText w:val=""/>
      <w:lvlJc w:val="left"/>
      <w:pPr>
        <w:ind w:left="720" w:hanging="360"/>
      </w:pPr>
      <w:rPr>
        <w:rFonts w:ascii="Symbol" w:hAnsi="Symbol" w:hint="default"/>
      </w:rPr>
    </w:lvl>
    <w:lvl w:ilvl="1" w:tplc="81F87FD2">
      <w:numFmt w:val="bullet"/>
      <w:lvlText w:val="-"/>
      <w:lvlJc w:val="left"/>
      <w:pPr>
        <w:ind w:left="1440" w:hanging="360"/>
      </w:pPr>
      <w:rPr>
        <w:rFonts w:ascii="Calibri" w:eastAsia="Geneva" w:hAnsi="Calibri" w:cs="Calibri" w:hint="default"/>
      </w:rPr>
    </w:lvl>
    <w:lvl w:ilvl="2" w:tplc="7262A8B0">
      <w:numFmt w:val="bullet"/>
      <w:lvlText w:val="•"/>
      <w:lvlJc w:val="left"/>
      <w:pPr>
        <w:ind w:left="2510" w:hanging="710"/>
      </w:pPr>
      <w:rPr>
        <w:rFonts w:ascii="Calibri" w:eastAsia="MS Mincho" w:hAnsi="Calibri" w:cs="Calibri"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5D11EF8"/>
    <w:multiLevelType w:val="hybridMultilevel"/>
    <w:tmpl w:val="33AC9C7E"/>
    <w:lvl w:ilvl="0" w:tplc="FA82E894">
      <w:start w:val="1"/>
      <w:numFmt w:val="bullet"/>
      <w:lvlText w:val=""/>
      <w:lvlJc w:val="left"/>
      <w:pPr>
        <w:tabs>
          <w:tab w:val="num" w:pos="360"/>
        </w:tabs>
        <w:ind w:left="360" w:hanging="360"/>
      </w:pPr>
      <w:rPr>
        <w:rFonts w:ascii="Symbol" w:hAnsi="Symbol" w:hint="default"/>
        <w:b w:val="0"/>
        <w:i w:val="0"/>
        <w:strike w:val="0"/>
        <w:dstrike w:val="0"/>
        <w:color w:val="auto"/>
        <w:sz w:val="16"/>
        <w:u w:val="none"/>
        <w:effect w:val="none"/>
      </w:rPr>
    </w:lvl>
    <w:lvl w:ilvl="1" w:tplc="04050003">
      <w:start w:val="1"/>
      <w:numFmt w:val="bullet"/>
      <w:pStyle w:val="Seznamsodrkami2"/>
      <w:lvlText w:val=""/>
      <w:lvlJc w:val="left"/>
      <w:pPr>
        <w:tabs>
          <w:tab w:val="num" w:pos="1440"/>
        </w:tabs>
        <w:ind w:left="1440" w:hanging="360"/>
      </w:pPr>
      <w:rPr>
        <w:rFonts w:ascii="Wingdings" w:hAnsi="Wingdings" w:hint="default"/>
        <w:b w:val="0"/>
        <w:i w:val="0"/>
        <w:strike w:val="0"/>
        <w:dstrike w:val="0"/>
        <w:color w:val="auto"/>
        <w:sz w:val="16"/>
        <w:u w:val="none"/>
        <w:effect w:val="none"/>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171A07BF"/>
    <w:multiLevelType w:val="hybridMultilevel"/>
    <w:tmpl w:val="A44A17EC"/>
    <w:lvl w:ilvl="0" w:tplc="04050013">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97B3EC1"/>
    <w:multiLevelType w:val="hybridMultilevel"/>
    <w:tmpl w:val="62B6762E"/>
    <w:name w:val="RTF_Num 2232"/>
    <w:lvl w:ilvl="0" w:tplc="5F8CE39E">
      <w:start w:val="1"/>
      <w:numFmt w:val="bullet"/>
      <w:lvlText w:val=""/>
      <w:lvlJc w:val="left"/>
      <w:pPr>
        <w:ind w:left="360" w:hanging="360"/>
      </w:pPr>
      <w:rPr>
        <w:rFonts w:ascii="Symbol" w:hAnsi="Symbol" w:hint="default"/>
      </w:rPr>
    </w:lvl>
    <w:lvl w:ilvl="1" w:tplc="BE6A7844" w:tentative="1">
      <w:start w:val="1"/>
      <w:numFmt w:val="bullet"/>
      <w:lvlText w:val="o"/>
      <w:lvlJc w:val="left"/>
      <w:pPr>
        <w:ind w:left="1080" w:hanging="360"/>
      </w:pPr>
      <w:rPr>
        <w:rFonts w:ascii="Courier New" w:hAnsi="Courier New" w:cs="Courier New" w:hint="default"/>
      </w:rPr>
    </w:lvl>
    <w:lvl w:ilvl="2" w:tplc="65C481B6" w:tentative="1">
      <w:start w:val="1"/>
      <w:numFmt w:val="bullet"/>
      <w:lvlText w:val=""/>
      <w:lvlJc w:val="left"/>
      <w:pPr>
        <w:ind w:left="1800" w:hanging="360"/>
      </w:pPr>
      <w:rPr>
        <w:rFonts w:ascii="Wingdings" w:hAnsi="Wingdings" w:hint="default"/>
      </w:rPr>
    </w:lvl>
    <w:lvl w:ilvl="3" w:tplc="A6A22366" w:tentative="1">
      <w:start w:val="1"/>
      <w:numFmt w:val="bullet"/>
      <w:lvlText w:val=""/>
      <w:lvlJc w:val="left"/>
      <w:pPr>
        <w:ind w:left="2520" w:hanging="360"/>
      </w:pPr>
      <w:rPr>
        <w:rFonts w:ascii="Symbol" w:hAnsi="Symbol" w:hint="default"/>
      </w:rPr>
    </w:lvl>
    <w:lvl w:ilvl="4" w:tplc="8B5A8E1C" w:tentative="1">
      <w:start w:val="1"/>
      <w:numFmt w:val="bullet"/>
      <w:lvlText w:val="o"/>
      <w:lvlJc w:val="left"/>
      <w:pPr>
        <w:ind w:left="3240" w:hanging="360"/>
      </w:pPr>
      <w:rPr>
        <w:rFonts w:ascii="Courier New" w:hAnsi="Courier New" w:cs="Courier New" w:hint="default"/>
      </w:rPr>
    </w:lvl>
    <w:lvl w:ilvl="5" w:tplc="329E2668" w:tentative="1">
      <w:start w:val="1"/>
      <w:numFmt w:val="bullet"/>
      <w:lvlText w:val=""/>
      <w:lvlJc w:val="left"/>
      <w:pPr>
        <w:ind w:left="3960" w:hanging="360"/>
      </w:pPr>
      <w:rPr>
        <w:rFonts w:ascii="Wingdings" w:hAnsi="Wingdings" w:hint="default"/>
      </w:rPr>
    </w:lvl>
    <w:lvl w:ilvl="6" w:tplc="D41A5F3A" w:tentative="1">
      <w:start w:val="1"/>
      <w:numFmt w:val="bullet"/>
      <w:lvlText w:val=""/>
      <w:lvlJc w:val="left"/>
      <w:pPr>
        <w:ind w:left="4680" w:hanging="360"/>
      </w:pPr>
      <w:rPr>
        <w:rFonts w:ascii="Symbol" w:hAnsi="Symbol" w:hint="default"/>
      </w:rPr>
    </w:lvl>
    <w:lvl w:ilvl="7" w:tplc="9EF6F33E" w:tentative="1">
      <w:start w:val="1"/>
      <w:numFmt w:val="bullet"/>
      <w:lvlText w:val="o"/>
      <w:lvlJc w:val="left"/>
      <w:pPr>
        <w:ind w:left="5400" w:hanging="360"/>
      </w:pPr>
      <w:rPr>
        <w:rFonts w:ascii="Courier New" w:hAnsi="Courier New" w:cs="Courier New" w:hint="default"/>
      </w:rPr>
    </w:lvl>
    <w:lvl w:ilvl="8" w:tplc="49E439D0" w:tentative="1">
      <w:start w:val="1"/>
      <w:numFmt w:val="bullet"/>
      <w:lvlText w:val=""/>
      <w:lvlJc w:val="left"/>
      <w:pPr>
        <w:ind w:left="6120" w:hanging="360"/>
      </w:pPr>
      <w:rPr>
        <w:rFonts w:ascii="Wingdings" w:hAnsi="Wingdings" w:hint="default"/>
      </w:rPr>
    </w:lvl>
  </w:abstractNum>
  <w:abstractNum w:abstractNumId="21" w15:restartNumberingAfterBreak="0">
    <w:nsid w:val="21DE7DDB"/>
    <w:multiLevelType w:val="hybridMultilevel"/>
    <w:tmpl w:val="CF76866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FD53C47"/>
    <w:multiLevelType w:val="hybridMultilevel"/>
    <w:tmpl w:val="57026144"/>
    <w:name w:val="RTF_Num 222232"/>
    <w:lvl w:ilvl="0" w:tplc="F06E538C">
      <w:start w:val="1"/>
      <w:numFmt w:val="bullet"/>
      <w:lvlText w:val=""/>
      <w:lvlJc w:val="left"/>
      <w:pPr>
        <w:ind w:left="720" w:hanging="360"/>
      </w:pPr>
      <w:rPr>
        <w:rFonts w:ascii="Symbol" w:hAnsi="Symbol" w:hint="default"/>
      </w:rPr>
    </w:lvl>
    <w:lvl w:ilvl="1" w:tplc="96C4615E" w:tentative="1">
      <w:start w:val="1"/>
      <w:numFmt w:val="bullet"/>
      <w:lvlText w:val="o"/>
      <w:lvlJc w:val="left"/>
      <w:pPr>
        <w:ind w:left="1440" w:hanging="360"/>
      </w:pPr>
      <w:rPr>
        <w:rFonts w:ascii="Courier New" w:hAnsi="Courier New" w:cs="Courier New" w:hint="default"/>
      </w:rPr>
    </w:lvl>
    <w:lvl w:ilvl="2" w:tplc="DC207250" w:tentative="1">
      <w:start w:val="1"/>
      <w:numFmt w:val="bullet"/>
      <w:lvlText w:val=""/>
      <w:lvlJc w:val="left"/>
      <w:pPr>
        <w:ind w:left="2160" w:hanging="360"/>
      </w:pPr>
      <w:rPr>
        <w:rFonts w:ascii="Wingdings" w:hAnsi="Wingdings" w:hint="default"/>
      </w:rPr>
    </w:lvl>
    <w:lvl w:ilvl="3" w:tplc="C532C944" w:tentative="1">
      <w:start w:val="1"/>
      <w:numFmt w:val="bullet"/>
      <w:lvlText w:val=""/>
      <w:lvlJc w:val="left"/>
      <w:pPr>
        <w:ind w:left="2880" w:hanging="360"/>
      </w:pPr>
      <w:rPr>
        <w:rFonts w:ascii="Symbol" w:hAnsi="Symbol" w:hint="default"/>
      </w:rPr>
    </w:lvl>
    <w:lvl w:ilvl="4" w:tplc="E9E0B808" w:tentative="1">
      <w:start w:val="1"/>
      <w:numFmt w:val="bullet"/>
      <w:lvlText w:val="o"/>
      <w:lvlJc w:val="left"/>
      <w:pPr>
        <w:ind w:left="3600" w:hanging="360"/>
      </w:pPr>
      <w:rPr>
        <w:rFonts w:ascii="Courier New" w:hAnsi="Courier New" w:cs="Courier New" w:hint="default"/>
      </w:rPr>
    </w:lvl>
    <w:lvl w:ilvl="5" w:tplc="A2F4D532" w:tentative="1">
      <w:start w:val="1"/>
      <w:numFmt w:val="bullet"/>
      <w:lvlText w:val=""/>
      <w:lvlJc w:val="left"/>
      <w:pPr>
        <w:ind w:left="4320" w:hanging="360"/>
      </w:pPr>
      <w:rPr>
        <w:rFonts w:ascii="Wingdings" w:hAnsi="Wingdings" w:hint="default"/>
      </w:rPr>
    </w:lvl>
    <w:lvl w:ilvl="6" w:tplc="6BEC95CE" w:tentative="1">
      <w:start w:val="1"/>
      <w:numFmt w:val="bullet"/>
      <w:lvlText w:val=""/>
      <w:lvlJc w:val="left"/>
      <w:pPr>
        <w:ind w:left="5040" w:hanging="360"/>
      </w:pPr>
      <w:rPr>
        <w:rFonts w:ascii="Symbol" w:hAnsi="Symbol" w:hint="default"/>
      </w:rPr>
    </w:lvl>
    <w:lvl w:ilvl="7" w:tplc="9C70DAE2" w:tentative="1">
      <w:start w:val="1"/>
      <w:numFmt w:val="bullet"/>
      <w:lvlText w:val="o"/>
      <w:lvlJc w:val="left"/>
      <w:pPr>
        <w:ind w:left="5760" w:hanging="360"/>
      </w:pPr>
      <w:rPr>
        <w:rFonts w:ascii="Courier New" w:hAnsi="Courier New" w:cs="Courier New" w:hint="default"/>
      </w:rPr>
    </w:lvl>
    <w:lvl w:ilvl="8" w:tplc="B726D3AA" w:tentative="1">
      <w:start w:val="1"/>
      <w:numFmt w:val="bullet"/>
      <w:lvlText w:val=""/>
      <w:lvlJc w:val="left"/>
      <w:pPr>
        <w:ind w:left="6480" w:hanging="360"/>
      </w:pPr>
      <w:rPr>
        <w:rFonts w:ascii="Wingdings" w:hAnsi="Wingdings" w:hint="default"/>
      </w:rPr>
    </w:lvl>
  </w:abstractNum>
  <w:abstractNum w:abstractNumId="23" w15:restartNumberingAfterBreak="0">
    <w:nsid w:val="32327539"/>
    <w:multiLevelType w:val="hybridMultilevel"/>
    <w:tmpl w:val="BE94EBCE"/>
    <w:lvl w:ilvl="0" w:tplc="65A261F0">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4" w15:restartNumberingAfterBreak="0">
    <w:nsid w:val="3AF517A6"/>
    <w:multiLevelType w:val="hybridMultilevel"/>
    <w:tmpl w:val="F356B3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C3A2F96"/>
    <w:multiLevelType w:val="hybridMultilevel"/>
    <w:tmpl w:val="9E9C3B4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F030484"/>
    <w:multiLevelType w:val="hybridMultilevel"/>
    <w:tmpl w:val="CC903B64"/>
    <w:lvl w:ilvl="0" w:tplc="E8548FF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F6427E5"/>
    <w:multiLevelType w:val="hybridMultilevel"/>
    <w:tmpl w:val="58C03FC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15:restartNumberingAfterBreak="0">
    <w:nsid w:val="48E0095E"/>
    <w:multiLevelType w:val="hybridMultilevel"/>
    <w:tmpl w:val="EEBAD6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B572007"/>
    <w:multiLevelType w:val="hybridMultilevel"/>
    <w:tmpl w:val="B540E4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C4B2427"/>
    <w:multiLevelType w:val="hybridMultilevel"/>
    <w:tmpl w:val="3A3206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DF45EB2"/>
    <w:multiLevelType w:val="hybridMultilevel"/>
    <w:tmpl w:val="5E3CB9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C40AA5"/>
    <w:multiLevelType w:val="hybridMultilevel"/>
    <w:tmpl w:val="0428D6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342569D"/>
    <w:multiLevelType w:val="hybridMultilevel"/>
    <w:tmpl w:val="2E387D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3A52D60"/>
    <w:multiLevelType w:val="hybridMultilevel"/>
    <w:tmpl w:val="DC428F1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63B68BE"/>
    <w:multiLevelType w:val="hybridMultilevel"/>
    <w:tmpl w:val="B3E6FA90"/>
    <w:lvl w:ilvl="0" w:tplc="3128496A">
      <w:start w:val="1"/>
      <w:numFmt w:val="decimal"/>
      <w:lvlText w:val="%1."/>
      <w:lvlJc w:val="left"/>
      <w:pPr>
        <w:tabs>
          <w:tab w:val="num" w:pos="720"/>
        </w:tabs>
        <w:ind w:left="720" w:hanging="360"/>
      </w:pPr>
      <w:rPr>
        <w:rFonts w:ascii="Calibri" w:eastAsia="MS Mincho" w:hAnsi="Calibri" w:cs="Times New Roman"/>
      </w:rPr>
    </w:lvl>
    <w:lvl w:ilvl="1" w:tplc="D980B186">
      <w:start w:val="2580"/>
      <w:numFmt w:val="bullet"/>
      <w:lvlText w:val="•"/>
      <w:lvlJc w:val="left"/>
      <w:pPr>
        <w:tabs>
          <w:tab w:val="num" w:pos="1440"/>
        </w:tabs>
        <w:ind w:left="1440" w:hanging="360"/>
      </w:pPr>
      <w:rPr>
        <w:rFonts w:ascii="Arial" w:hAnsi="Arial" w:hint="default"/>
      </w:rPr>
    </w:lvl>
    <w:lvl w:ilvl="2" w:tplc="EA2C41BE">
      <w:start w:val="1"/>
      <w:numFmt w:val="bullet"/>
      <w:lvlText w:val="•"/>
      <w:lvlJc w:val="left"/>
      <w:pPr>
        <w:tabs>
          <w:tab w:val="num" w:pos="2160"/>
        </w:tabs>
        <w:ind w:left="2160" w:hanging="360"/>
      </w:pPr>
      <w:rPr>
        <w:rFonts w:ascii="Arial" w:hAnsi="Arial" w:hint="default"/>
      </w:rPr>
    </w:lvl>
    <w:lvl w:ilvl="3" w:tplc="95BA8764" w:tentative="1">
      <w:start w:val="1"/>
      <w:numFmt w:val="bullet"/>
      <w:lvlText w:val="•"/>
      <w:lvlJc w:val="left"/>
      <w:pPr>
        <w:tabs>
          <w:tab w:val="num" w:pos="2880"/>
        </w:tabs>
        <w:ind w:left="2880" w:hanging="360"/>
      </w:pPr>
      <w:rPr>
        <w:rFonts w:ascii="Arial" w:hAnsi="Arial" w:hint="default"/>
      </w:rPr>
    </w:lvl>
    <w:lvl w:ilvl="4" w:tplc="991C58B4" w:tentative="1">
      <w:start w:val="1"/>
      <w:numFmt w:val="bullet"/>
      <w:lvlText w:val="•"/>
      <w:lvlJc w:val="left"/>
      <w:pPr>
        <w:tabs>
          <w:tab w:val="num" w:pos="3600"/>
        </w:tabs>
        <w:ind w:left="3600" w:hanging="360"/>
      </w:pPr>
      <w:rPr>
        <w:rFonts w:ascii="Arial" w:hAnsi="Arial" w:hint="default"/>
      </w:rPr>
    </w:lvl>
    <w:lvl w:ilvl="5" w:tplc="611AC18A" w:tentative="1">
      <w:start w:val="1"/>
      <w:numFmt w:val="bullet"/>
      <w:lvlText w:val="•"/>
      <w:lvlJc w:val="left"/>
      <w:pPr>
        <w:tabs>
          <w:tab w:val="num" w:pos="4320"/>
        </w:tabs>
        <w:ind w:left="4320" w:hanging="360"/>
      </w:pPr>
      <w:rPr>
        <w:rFonts w:ascii="Arial" w:hAnsi="Arial" w:hint="default"/>
      </w:rPr>
    </w:lvl>
    <w:lvl w:ilvl="6" w:tplc="620262A0" w:tentative="1">
      <w:start w:val="1"/>
      <w:numFmt w:val="bullet"/>
      <w:lvlText w:val="•"/>
      <w:lvlJc w:val="left"/>
      <w:pPr>
        <w:tabs>
          <w:tab w:val="num" w:pos="5040"/>
        </w:tabs>
        <w:ind w:left="5040" w:hanging="360"/>
      </w:pPr>
      <w:rPr>
        <w:rFonts w:ascii="Arial" w:hAnsi="Arial" w:hint="default"/>
      </w:rPr>
    </w:lvl>
    <w:lvl w:ilvl="7" w:tplc="E80A85E6" w:tentative="1">
      <w:start w:val="1"/>
      <w:numFmt w:val="bullet"/>
      <w:lvlText w:val="•"/>
      <w:lvlJc w:val="left"/>
      <w:pPr>
        <w:tabs>
          <w:tab w:val="num" w:pos="5760"/>
        </w:tabs>
        <w:ind w:left="5760" w:hanging="360"/>
      </w:pPr>
      <w:rPr>
        <w:rFonts w:ascii="Arial" w:hAnsi="Arial" w:hint="default"/>
      </w:rPr>
    </w:lvl>
    <w:lvl w:ilvl="8" w:tplc="57001478"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56E84DB1"/>
    <w:multiLevelType w:val="hybridMultilevel"/>
    <w:tmpl w:val="11BA7D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7AA4E7A"/>
    <w:multiLevelType w:val="multilevel"/>
    <w:tmpl w:val="0405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lvl>
    <w:lvl w:ilvl="2">
      <w:start w:val="1"/>
      <w:numFmt w:val="decimal"/>
      <w:pStyle w:val="Nadpis3"/>
      <w:lvlText w:val="%1.%2.%3"/>
      <w:lvlJc w:val="left"/>
      <w:pPr>
        <w:ind w:left="6533"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9" w15:restartNumberingAfterBreak="0">
    <w:nsid w:val="59F00334"/>
    <w:multiLevelType w:val="hybridMultilevel"/>
    <w:tmpl w:val="2160A0AE"/>
    <w:lvl w:ilvl="0" w:tplc="04050001">
      <w:start w:val="1"/>
      <w:numFmt w:val="bullet"/>
      <w:lvlText w:val=""/>
      <w:lvlJc w:val="left"/>
      <w:pPr>
        <w:tabs>
          <w:tab w:val="num" w:pos="720"/>
        </w:tabs>
        <w:ind w:left="720" w:hanging="360"/>
      </w:pPr>
      <w:rPr>
        <w:rFonts w:ascii="Symbol" w:hAnsi="Symbol" w:hint="default"/>
      </w:rPr>
    </w:lvl>
    <w:lvl w:ilvl="1" w:tplc="04050003">
      <w:start w:val="1"/>
      <w:numFmt w:val="bullet"/>
      <w:pStyle w:val="vty"/>
      <w:lvlText w:val=""/>
      <w:lvlJc w:val="left"/>
      <w:pPr>
        <w:tabs>
          <w:tab w:val="num" w:pos="2145"/>
        </w:tabs>
        <w:ind w:left="2145" w:hanging="360"/>
      </w:pPr>
      <w:rPr>
        <w:rFonts w:ascii="Symbol" w:hAnsi="Symbol" w:hint="default"/>
        <w:sz w:val="24"/>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0" w15:restartNumberingAfterBreak="0">
    <w:nsid w:val="5D414274"/>
    <w:multiLevelType w:val="hybridMultilevel"/>
    <w:tmpl w:val="01C2C218"/>
    <w:name w:val="WW8Num622"/>
    <w:lvl w:ilvl="0" w:tplc="86FABC1C">
      <w:start w:val="1"/>
      <w:numFmt w:val="decimal"/>
      <w:pStyle w:val="NormlnOdsazen"/>
      <w:lvlText w:val="8.%1."/>
      <w:lvlJc w:val="left"/>
      <w:pPr>
        <w:tabs>
          <w:tab w:val="num" w:pos="924"/>
        </w:tabs>
        <w:ind w:left="924" w:hanging="567"/>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785280A0">
      <w:start w:val="1"/>
      <w:numFmt w:val="bullet"/>
      <w:lvlText w:val="-"/>
      <w:lvlJc w:val="left"/>
      <w:pPr>
        <w:tabs>
          <w:tab w:val="num" w:pos="1440"/>
        </w:tabs>
        <w:ind w:left="1440" w:hanging="360"/>
      </w:pPr>
      <w:rPr>
        <w:rFonts w:ascii="Arial" w:eastAsia="Times New Roman" w:hAnsi="Arial" w:cs="Times New Roman"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1" w15:restartNumberingAfterBreak="0">
    <w:nsid w:val="5EA35075"/>
    <w:multiLevelType w:val="hybridMultilevel"/>
    <w:tmpl w:val="C4C4158E"/>
    <w:name w:val="WW8Num72"/>
    <w:lvl w:ilvl="0" w:tplc="04050003">
      <w:start w:val="1"/>
      <w:numFmt w:val="bullet"/>
      <w:lvlText w:val="o"/>
      <w:lvlJc w:val="left"/>
      <w:pPr>
        <w:tabs>
          <w:tab w:val="num" w:pos="1440"/>
        </w:tabs>
        <w:ind w:left="1440" w:hanging="360"/>
      </w:pPr>
      <w:rPr>
        <w:rFonts w:ascii="Courier New" w:hAnsi="Courier New" w:cs="Courier New"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602F4359"/>
    <w:multiLevelType w:val="hybridMultilevel"/>
    <w:tmpl w:val="FA10F1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0543170"/>
    <w:multiLevelType w:val="hybridMultilevel"/>
    <w:tmpl w:val="2228C652"/>
    <w:lvl w:ilvl="0" w:tplc="04050001">
      <w:start w:val="1"/>
      <w:numFmt w:val="bullet"/>
      <w:pStyle w:val="Odrky1"/>
      <w:lvlText w:val=""/>
      <w:lvlJc w:val="left"/>
      <w:pPr>
        <w:ind w:left="723" w:hanging="360"/>
      </w:pPr>
      <w:rPr>
        <w:rFonts w:ascii="Symbol" w:hAnsi="Symbol" w:hint="default"/>
        <w:b/>
        <w:i w:val="0"/>
        <w:color w:val="000000" w:themeColor="text1"/>
        <w:sz w:val="22"/>
        <w:szCs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1595EBA"/>
    <w:multiLevelType w:val="hybridMultilevel"/>
    <w:tmpl w:val="B748F1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3625FCB"/>
    <w:multiLevelType w:val="multilevel"/>
    <w:tmpl w:val="80467E9C"/>
    <w:styleLink w:val="ZV"/>
    <w:lvl w:ilvl="0">
      <w:start w:val="1"/>
      <w:numFmt w:val="ordinal"/>
      <w:lvlText w:val="%1"/>
      <w:lvlJc w:val="left"/>
      <w:pPr>
        <w:tabs>
          <w:tab w:val="num" w:pos="1080"/>
        </w:tabs>
        <w:ind w:left="1334" w:hanging="626"/>
      </w:pPr>
      <w:rPr>
        <w:rFonts w:ascii="Times New Roman" w:hAnsi="Times New Roman" w:hint="default"/>
        <w:b/>
        <w:i w:val="0"/>
        <w:color w:val="auto"/>
        <w:sz w:val="28"/>
      </w:rPr>
    </w:lvl>
    <w:lvl w:ilvl="1">
      <w:start w:val="1"/>
      <w:numFmt w:val="none"/>
      <w:lvlText w:val="%2"/>
      <w:lvlJc w:val="left"/>
      <w:pPr>
        <w:tabs>
          <w:tab w:val="num" w:pos="720"/>
        </w:tabs>
        <w:ind w:left="1068" w:hanging="360"/>
      </w:pPr>
      <w:rPr>
        <w:rFonts w:ascii="Times New Roman" w:hAnsi="Times New Roman" w:hint="default"/>
        <w:i/>
        <w:color w:val="000080"/>
        <w:sz w:val="22"/>
      </w:rPr>
    </w:lvl>
    <w:lvl w:ilvl="2">
      <w:start w:val="1"/>
      <w:numFmt w:val="bullet"/>
      <w:lvlText w:val=""/>
      <w:lvlJc w:val="left"/>
      <w:pPr>
        <w:tabs>
          <w:tab w:val="num" w:pos="2160"/>
        </w:tabs>
        <w:ind w:left="1596" w:hanging="180"/>
      </w:pPr>
      <w:rPr>
        <w:rFonts w:ascii="Symbol" w:hAnsi="Symbol" w:cs="Times New Roman" w:hint="default"/>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6AAF1A1F"/>
    <w:multiLevelType w:val="multilevel"/>
    <w:tmpl w:val="3826684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rPr>
        <w:b/>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360"/>
        </w:tabs>
        <w:ind w:left="-425" w:firstLine="425"/>
      </w:pPr>
    </w:lvl>
    <w:lvl w:ilvl="7">
      <w:start w:val="1"/>
      <w:numFmt w:val="lowerLetter"/>
      <w:lvlText w:val="%8)"/>
      <w:lvlJc w:val="left"/>
      <w:pPr>
        <w:tabs>
          <w:tab w:val="num" w:pos="425"/>
        </w:tabs>
        <w:ind w:left="425" w:hanging="425"/>
      </w:pPr>
    </w:lvl>
    <w:lvl w:ilvl="8">
      <w:start w:val="1"/>
      <w:numFmt w:val="decimal"/>
      <w:pStyle w:val="Textodstavce"/>
      <w:lvlText w:val="%9."/>
      <w:lvlJc w:val="left"/>
      <w:pPr>
        <w:tabs>
          <w:tab w:val="num" w:pos="851"/>
        </w:tabs>
        <w:ind w:left="851" w:hanging="426"/>
      </w:pPr>
      <w:rPr>
        <w:b/>
      </w:rPr>
    </w:lvl>
  </w:abstractNum>
  <w:abstractNum w:abstractNumId="47" w15:restartNumberingAfterBreak="0">
    <w:nsid w:val="6CE0218F"/>
    <w:multiLevelType w:val="hybridMultilevel"/>
    <w:tmpl w:val="2C449138"/>
    <w:lvl w:ilvl="0" w:tplc="3824125E">
      <w:start w:val="1"/>
      <w:numFmt w:val="decimal"/>
      <w:pStyle w:val="sla"/>
      <w:lvlText w:val="%1."/>
      <w:lvlJc w:val="left"/>
      <w:pPr>
        <w:tabs>
          <w:tab w:val="num" w:pos="720"/>
        </w:tabs>
        <w:ind w:left="720" w:hanging="360"/>
      </w:pPr>
    </w:lvl>
    <w:lvl w:ilvl="1" w:tplc="F022F028">
      <w:start w:val="1"/>
      <w:numFmt w:val="lowerLetter"/>
      <w:lvlText w:val="%2."/>
      <w:lvlJc w:val="left"/>
      <w:pPr>
        <w:tabs>
          <w:tab w:val="num" w:pos="1440"/>
        </w:tabs>
        <w:ind w:left="1440" w:hanging="360"/>
      </w:pPr>
    </w:lvl>
    <w:lvl w:ilvl="2" w:tplc="DE086502" w:tentative="1">
      <w:start w:val="1"/>
      <w:numFmt w:val="lowerRoman"/>
      <w:lvlText w:val="%3."/>
      <w:lvlJc w:val="right"/>
      <w:pPr>
        <w:tabs>
          <w:tab w:val="num" w:pos="2160"/>
        </w:tabs>
        <w:ind w:left="2160" w:hanging="180"/>
      </w:pPr>
    </w:lvl>
    <w:lvl w:ilvl="3" w:tplc="7BBA23BE" w:tentative="1">
      <w:start w:val="1"/>
      <w:numFmt w:val="decimal"/>
      <w:lvlText w:val="%4."/>
      <w:lvlJc w:val="left"/>
      <w:pPr>
        <w:tabs>
          <w:tab w:val="num" w:pos="2880"/>
        </w:tabs>
        <w:ind w:left="2880" w:hanging="360"/>
      </w:pPr>
    </w:lvl>
    <w:lvl w:ilvl="4" w:tplc="972AA8E4" w:tentative="1">
      <w:start w:val="1"/>
      <w:numFmt w:val="lowerLetter"/>
      <w:lvlText w:val="%5."/>
      <w:lvlJc w:val="left"/>
      <w:pPr>
        <w:tabs>
          <w:tab w:val="num" w:pos="3600"/>
        </w:tabs>
        <w:ind w:left="3600" w:hanging="360"/>
      </w:pPr>
    </w:lvl>
    <w:lvl w:ilvl="5" w:tplc="BAE8C942" w:tentative="1">
      <w:start w:val="1"/>
      <w:numFmt w:val="lowerRoman"/>
      <w:lvlText w:val="%6."/>
      <w:lvlJc w:val="right"/>
      <w:pPr>
        <w:tabs>
          <w:tab w:val="num" w:pos="4320"/>
        </w:tabs>
        <w:ind w:left="4320" w:hanging="180"/>
      </w:pPr>
    </w:lvl>
    <w:lvl w:ilvl="6" w:tplc="8886F89C" w:tentative="1">
      <w:start w:val="1"/>
      <w:numFmt w:val="decimal"/>
      <w:lvlText w:val="%7."/>
      <w:lvlJc w:val="left"/>
      <w:pPr>
        <w:tabs>
          <w:tab w:val="num" w:pos="5040"/>
        </w:tabs>
        <w:ind w:left="5040" w:hanging="360"/>
      </w:pPr>
    </w:lvl>
    <w:lvl w:ilvl="7" w:tplc="FE080F92" w:tentative="1">
      <w:start w:val="1"/>
      <w:numFmt w:val="lowerLetter"/>
      <w:lvlText w:val="%8."/>
      <w:lvlJc w:val="left"/>
      <w:pPr>
        <w:tabs>
          <w:tab w:val="num" w:pos="5760"/>
        </w:tabs>
        <w:ind w:left="5760" w:hanging="360"/>
      </w:pPr>
    </w:lvl>
    <w:lvl w:ilvl="8" w:tplc="C1403C88" w:tentative="1">
      <w:start w:val="1"/>
      <w:numFmt w:val="lowerRoman"/>
      <w:lvlText w:val="%9."/>
      <w:lvlJc w:val="right"/>
      <w:pPr>
        <w:tabs>
          <w:tab w:val="num" w:pos="6480"/>
        </w:tabs>
        <w:ind w:left="6480" w:hanging="180"/>
      </w:pPr>
    </w:lvl>
  </w:abstractNum>
  <w:abstractNum w:abstractNumId="48" w15:restartNumberingAfterBreak="0">
    <w:nsid w:val="6E99386C"/>
    <w:multiLevelType w:val="hybridMultilevel"/>
    <w:tmpl w:val="9D623A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2C8248C"/>
    <w:multiLevelType w:val="hybridMultilevel"/>
    <w:tmpl w:val="780CD2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438646C"/>
    <w:multiLevelType w:val="hybridMultilevel"/>
    <w:tmpl w:val="0D5010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6307396"/>
    <w:multiLevelType w:val="hybridMultilevel"/>
    <w:tmpl w:val="19180C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7B9361D"/>
    <w:multiLevelType w:val="hybridMultilevel"/>
    <w:tmpl w:val="66A08A8E"/>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6"/>
  </w:num>
  <w:num w:numId="2">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7"/>
  </w:num>
  <w:num w:numId="7">
    <w:abstractNumId w:val="43"/>
  </w:num>
  <w:num w:numId="8">
    <w:abstractNumId w:val="45"/>
  </w:num>
  <w:num w:numId="9">
    <w:abstractNumId w:val="48"/>
  </w:num>
  <w:num w:numId="10">
    <w:abstractNumId w:val="50"/>
  </w:num>
  <w:num w:numId="11">
    <w:abstractNumId w:val="25"/>
  </w:num>
  <w:num w:numId="12">
    <w:abstractNumId w:val="24"/>
  </w:num>
  <w:num w:numId="13">
    <w:abstractNumId w:val="12"/>
  </w:num>
  <w:num w:numId="14">
    <w:abstractNumId w:val="51"/>
  </w:num>
  <w:num w:numId="15">
    <w:abstractNumId w:val="17"/>
  </w:num>
  <w:num w:numId="16">
    <w:abstractNumId w:val="32"/>
  </w:num>
  <w:num w:numId="17">
    <w:abstractNumId w:val="7"/>
  </w:num>
  <w:num w:numId="18">
    <w:abstractNumId w:val="44"/>
  </w:num>
  <w:num w:numId="19">
    <w:abstractNumId w:val="38"/>
  </w:num>
  <w:num w:numId="20">
    <w:abstractNumId w:val="19"/>
  </w:num>
  <w:num w:numId="21">
    <w:abstractNumId w:val="37"/>
  </w:num>
  <w:num w:numId="22">
    <w:abstractNumId w:val="49"/>
  </w:num>
  <w:num w:numId="23">
    <w:abstractNumId w:val="21"/>
  </w:num>
  <w:num w:numId="24">
    <w:abstractNumId w:val="35"/>
  </w:num>
  <w:num w:numId="25">
    <w:abstractNumId w:val="6"/>
  </w:num>
  <w:num w:numId="26">
    <w:abstractNumId w:val="11"/>
  </w:num>
  <w:num w:numId="27">
    <w:abstractNumId w:val="8"/>
  </w:num>
  <w:num w:numId="28">
    <w:abstractNumId w:val="29"/>
  </w:num>
  <w:num w:numId="29">
    <w:abstractNumId w:val="27"/>
  </w:num>
  <w:num w:numId="30">
    <w:abstractNumId w:val="26"/>
  </w:num>
  <w:num w:numId="31">
    <w:abstractNumId w:val="52"/>
  </w:num>
  <w:num w:numId="32">
    <w:abstractNumId w:val="23"/>
  </w:num>
  <w:num w:numId="33">
    <w:abstractNumId w:val="36"/>
  </w:num>
  <w:num w:numId="34">
    <w:abstractNumId w:val="33"/>
  </w:num>
  <w:num w:numId="35">
    <w:abstractNumId w:val="14"/>
  </w:num>
  <w:num w:numId="36">
    <w:abstractNumId w:val="15"/>
  </w:num>
  <w:num w:numId="37">
    <w:abstractNumId w:val="30"/>
  </w:num>
  <w:num w:numId="38">
    <w:abstractNumId w:val="34"/>
  </w:num>
  <w:num w:numId="39">
    <w:abstractNumId w:val="13"/>
  </w:num>
  <w:num w:numId="40">
    <w:abstractNumId w:val="31"/>
  </w:num>
  <w:num w:numId="41">
    <w:abstractNumId w:val="4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08"/>
  <w:hyphenationZone w:val="425"/>
  <w:drawingGridHorizontalSpacing w:val="112"/>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713"/>
    <w:rsid w:val="00000D29"/>
    <w:rsid w:val="00001424"/>
    <w:rsid w:val="00001AF4"/>
    <w:rsid w:val="000026A8"/>
    <w:rsid w:val="00002AA9"/>
    <w:rsid w:val="00003460"/>
    <w:rsid w:val="000038A8"/>
    <w:rsid w:val="0000444F"/>
    <w:rsid w:val="00004B63"/>
    <w:rsid w:val="0000537B"/>
    <w:rsid w:val="00005EB7"/>
    <w:rsid w:val="00006C17"/>
    <w:rsid w:val="00007A64"/>
    <w:rsid w:val="00007CE1"/>
    <w:rsid w:val="00007DB4"/>
    <w:rsid w:val="00007F42"/>
    <w:rsid w:val="00010969"/>
    <w:rsid w:val="00010D71"/>
    <w:rsid w:val="00010E81"/>
    <w:rsid w:val="000116B0"/>
    <w:rsid w:val="00012683"/>
    <w:rsid w:val="00013445"/>
    <w:rsid w:val="0001407B"/>
    <w:rsid w:val="00014082"/>
    <w:rsid w:val="000147D4"/>
    <w:rsid w:val="00014C60"/>
    <w:rsid w:val="00014CBD"/>
    <w:rsid w:val="000156B2"/>
    <w:rsid w:val="00015B2D"/>
    <w:rsid w:val="00015D48"/>
    <w:rsid w:val="00017455"/>
    <w:rsid w:val="00017629"/>
    <w:rsid w:val="0001772D"/>
    <w:rsid w:val="00020B3F"/>
    <w:rsid w:val="00020D00"/>
    <w:rsid w:val="00021A53"/>
    <w:rsid w:val="00021CF1"/>
    <w:rsid w:val="0002288A"/>
    <w:rsid w:val="00022CE1"/>
    <w:rsid w:val="00023C75"/>
    <w:rsid w:val="00024961"/>
    <w:rsid w:val="00024A37"/>
    <w:rsid w:val="00025818"/>
    <w:rsid w:val="00025821"/>
    <w:rsid w:val="00025D51"/>
    <w:rsid w:val="000267B3"/>
    <w:rsid w:val="00026BC8"/>
    <w:rsid w:val="00026CE2"/>
    <w:rsid w:val="000272A2"/>
    <w:rsid w:val="0002747B"/>
    <w:rsid w:val="00027A16"/>
    <w:rsid w:val="00027C6C"/>
    <w:rsid w:val="000305BD"/>
    <w:rsid w:val="00031117"/>
    <w:rsid w:val="00031230"/>
    <w:rsid w:val="00031B9F"/>
    <w:rsid w:val="00031DD3"/>
    <w:rsid w:val="00031F72"/>
    <w:rsid w:val="0003274D"/>
    <w:rsid w:val="000332E6"/>
    <w:rsid w:val="000332FC"/>
    <w:rsid w:val="00033B05"/>
    <w:rsid w:val="00033FA6"/>
    <w:rsid w:val="00035AA9"/>
    <w:rsid w:val="00036232"/>
    <w:rsid w:val="0003663B"/>
    <w:rsid w:val="00036ED4"/>
    <w:rsid w:val="00037064"/>
    <w:rsid w:val="0004063E"/>
    <w:rsid w:val="00040813"/>
    <w:rsid w:val="000412C2"/>
    <w:rsid w:val="00041442"/>
    <w:rsid w:val="0004236F"/>
    <w:rsid w:val="0004243A"/>
    <w:rsid w:val="0004366A"/>
    <w:rsid w:val="00043C33"/>
    <w:rsid w:val="00043EF8"/>
    <w:rsid w:val="00044215"/>
    <w:rsid w:val="00044D8A"/>
    <w:rsid w:val="00045780"/>
    <w:rsid w:val="00045975"/>
    <w:rsid w:val="00047570"/>
    <w:rsid w:val="000478C2"/>
    <w:rsid w:val="000479C5"/>
    <w:rsid w:val="000511BA"/>
    <w:rsid w:val="00052040"/>
    <w:rsid w:val="00052E40"/>
    <w:rsid w:val="00053027"/>
    <w:rsid w:val="0005322C"/>
    <w:rsid w:val="00053593"/>
    <w:rsid w:val="000543D2"/>
    <w:rsid w:val="00054586"/>
    <w:rsid w:val="0005476C"/>
    <w:rsid w:val="00054A7F"/>
    <w:rsid w:val="00054E92"/>
    <w:rsid w:val="00054FCF"/>
    <w:rsid w:val="00055C12"/>
    <w:rsid w:val="00056709"/>
    <w:rsid w:val="00057371"/>
    <w:rsid w:val="000574BA"/>
    <w:rsid w:val="00057C27"/>
    <w:rsid w:val="0006084C"/>
    <w:rsid w:val="0006091E"/>
    <w:rsid w:val="00060CC5"/>
    <w:rsid w:val="00060E38"/>
    <w:rsid w:val="00061528"/>
    <w:rsid w:val="000616D7"/>
    <w:rsid w:val="00061886"/>
    <w:rsid w:val="000625FB"/>
    <w:rsid w:val="00062F4F"/>
    <w:rsid w:val="00063698"/>
    <w:rsid w:val="00063776"/>
    <w:rsid w:val="000642E3"/>
    <w:rsid w:val="00066089"/>
    <w:rsid w:val="000660A6"/>
    <w:rsid w:val="0006651D"/>
    <w:rsid w:val="000671F8"/>
    <w:rsid w:val="000677B6"/>
    <w:rsid w:val="0007048F"/>
    <w:rsid w:val="00070C79"/>
    <w:rsid w:val="00070CAF"/>
    <w:rsid w:val="000710CF"/>
    <w:rsid w:val="000710D8"/>
    <w:rsid w:val="00071927"/>
    <w:rsid w:val="00071DCF"/>
    <w:rsid w:val="00072132"/>
    <w:rsid w:val="000751FF"/>
    <w:rsid w:val="000752CB"/>
    <w:rsid w:val="000755FA"/>
    <w:rsid w:val="00075652"/>
    <w:rsid w:val="000756DF"/>
    <w:rsid w:val="000757C0"/>
    <w:rsid w:val="00075C96"/>
    <w:rsid w:val="00075F59"/>
    <w:rsid w:val="0007600C"/>
    <w:rsid w:val="000766B7"/>
    <w:rsid w:val="00077F31"/>
    <w:rsid w:val="00080886"/>
    <w:rsid w:val="00081A9B"/>
    <w:rsid w:val="00081D6F"/>
    <w:rsid w:val="00081DB2"/>
    <w:rsid w:val="0008321F"/>
    <w:rsid w:val="00083ED3"/>
    <w:rsid w:val="0008453D"/>
    <w:rsid w:val="000845DA"/>
    <w:rsid w:val="0008528F"/>
    <w:rsid w:val="0008541F"/>
    <w:rsid w:val="00085B8A"/>
    <w:rsid w:val="00085C53"/>
    <w:rsid w:val="00086797"/>
    <w:rsid w:val="00086D10"/>
    <w:rsid w:val="00086E89"/>
    <w:rsid w:val="00087AFA"/>
    <w:rsid w:val="00090135"/>
    <w:rsid w:val="00090241"/>
    <w:rsid w:val="00091801"/>
    <w:rsid w:val="00091A61"/>
    <w:rsid w:val="00091A95"/>
    <w:rsid w:val="00091B12"/>
    <w:rsid w:val="00092084"/>
    <w:rsid w:val="000922F6"/>
    <w:rsid w:val="00092EC1"/>
    <w:rsid w:val="00093815"/>
    <w:rsid w:val="00093A94"/>
    <w:rsid w:val="00093CC1"/>
    <w:rsid w:val="00093D31"/>
    <w:rsid w:val="00093EAD"/>
    <w:rsid w:val="0009462B"/>
    <w:rsid w:val="00094A68"/>
    <w:rsid w:val="0009683E"/>
    <w:rsid w:val="00097019"/>
    <w:rsid w:val="00097113"/>
    <w:rsid w:val="00097BF8"/>
    <w:rsid w:val="00097E21"/>
    <w:rsid w:val="00097E60"/>
    <w:rsid w:val="00097F5E"/>
    <w:rsid w:val="000A0CEB"/>
    <w:rsid w:val="000A15F0"/>
    <w:rsid w:val="000A2B98"/>
    <w:rsid w:val="000A2E8E"/>
    <w:rsid w:val="000A33A1"/>
    <w:rsid w:val="000A3B6C"/>
    <w:rsid w:val="000A3B71"/>
    <w:rsid w:val="000A4648"/>
    <w:rsid w:val="000A488F"/>
    <w:rsid w:val="000A4A14"/>
    <w:rsid w:val="000A557F"/>
    <w:rsid w:val="000A5F00"/>
    <w:rsid w:val="000A7094"/>
    <w:rsid w:val="000A7708"/>
    <w:rsid w:val="000A78D9"/>
    <w:rsid w:val="000A7D27"/>
    <w:rsid w:val="000B019B"/>
    <w:rsid w:val="000B095E"/>
    <w:rsid w:val="000B0BDE"/>
    <w:rsid w:val="000B1D59"/>
    <w:rsid w:val="000B1D5B"/>
    <w:rsid w:val="000B1E38"/>
    <w:rsid w:val="000B21DF"/>
    <w:rsid w:val="000B2524"/>
    <w:rsid w:val="000B2939"/>
    <w:rsid w:val="000B2E9C"/>
    <w:rsid w:val="000B2F29"/>
    <w:rsid w:val="000B3498"/>
    <w:rsid w:val="000B3874"/>
    <w:rsid w:val="000B43A1"/>
    <w:rsid w:val="000B48D8"/>
    <w:rsid w:val="000B4C0F"/>
    <w:rsid w:val="000B66E0"/>
    <w:rsid w:val="000C1369"/>
    <w:rsid w:val="000C16B1"/>
    <w:rsid w:val="000C1823"/>
    <w:rsid w:val="000C22EF"/>
    <w:rsid w:val="000C24E9"/>
    <w:rsid w:val="000C277C"/>
    <w:rsid w:val="000C2DB0"/>
    <w:rsid w:val="000C361A"/>
    <w:rsid w:val="000C48C4"/>
    <w:rsid w:val="000C5327"/>
    <w:rsid w:val="000C55EE"/>
    <w:rsid w:val="000C5A9E"/>
    <w:rsid w:val="000C5C99"/>
    <w:rsid w:val="000C7A5F"/>
    <w:rsid w:val="000C7A9A"/>
    <w:rsid w:val="000D078A"/>
    <w:rsid w:val="000D0AE1"/>
    <w:rsid w:val="000D2D6C"/>
    <w:rsid w:val="000D2F43"/>
    <w:rsid w:val="000D3413"/>
    <w:rsid w:val="000D418B"/>
    <w:rsid w:val="000D477D"/>
    <w:rsid w:val="000D4C41"/>
    <w:rsid w:val="000D6A64"/>
    <w:rsid w:val="000D6A90"/>
    <w:rsid w:val="000D7684"/>
    <w:rsid w:val="000D7BB9"/>
    <w:rsid w:val="000E0158"/>
    <w:rsid w:val="000E171B"/>
    <w:rsid w:val="000E17A8"/>
    <w:rsid w:val="000E2967"/>
    <w:rsid w:val="000E38C1"/>
    <w:rsid w:val="000E432C"/>
    <w:rsid w:val="000E436A"/>
    <w:rsid w:val="000E5258"/>
    <w:rsid w:val="000E58B7"/>
    <w:rsid w:val="000E5F22"/>
    <w:rsid w:val="000E68E1"/>
    <w:rsid w:val="000E6C82"/>
    <w:rsid w:val="000F0083"/>
    <w:rsid w:val="000F018A"/>
    <w:rsid w:val="000F0F41"/>
    <w:rsid w:val="000F15BF"/>
    <w:rsid w:val="000F1CC7"/>
    <w:rsid w:val="000F2019"/>
    <w:rsid w:val="000F215C"/>
    <w:rsid w:val="000F381D"/>
    <w:rsid w:val="000F4545"/>
    <w:rsid w:val="000F46AA"/>
    <w:rsid w:val="000F47F8"/>
    <w:rsid w:val="000F4815"/>
    <w:rsid w:val="000F4D13"/>
    <w:rsid w:val="000F55FA"/>
    <w:rsid w:val="000F5627"/>
    <w:rsid w:val="000F6EEC"/>
    <w:rsid w:val="001000E7"/>
    <w:rsid w:val="0010184F"/>
    <w:rsid w:val="00101FB4"/>
    <w:rsid w:val="00104757"/>
    <w:rsid w:val="001064E9"/>
    <w:rsid w:val="001069BF"/>
    <w:rsid w:val="00106C91"/>
    <w:rsid w:val="00106D44"/>
    <w:rsid w:val="00107CBD"/>
    <w:rsid w:val="00112574"/>
    <w:rsid w:val="00112B8F"/>
    <w:rsid w:val="00113DE0"/>
    <w:rsid w:val="00114A15"/>
    <w:rsid w:val="001150F9"/>
    <w:rsid w:val="00115899"/>
    <w:rsid w:val="001161A5"/>
    <w:rsid w:val="001162DD"/>
    <w:rsid w:val="001167B8"/>
    <w:rsid w:val="00116FA4"/>
    <w:rsid w:val="00117C9B"/>
    <w:rsid w:val="00120077"/>
    <w:rsid w:val="00120276"/>
    <w:rsid w:val="001203D0"/>
    <w:rsid w:val="00121C42"/>
    <w:rsid w:val="00121EB9"/>
    <w:rsid w:val="00122CA4"/>
    <w:rsid w:val="001232B1"/>
    <w:rsid w:val="00123C23"/>
    <w:rsid w:val="00124ADE"/>
    <w:rsid w:val="00124C09"/>
    <w:rsid w:val="00125160"/>
    <w:rsid w:val="00125649"/>
    <w:rsid w:val="00125856"/>
    <w:rsid w:val="00125D41"/>
    <w:rsid w:val="00126C17"/>
    <w:rsid w:val="00126CCE"/>
    <w:rsid w:val="0012708D"/>
    <w:rsid w:val="00127484"/>
    <w:rsid w:val="00127AA5"/>
    <w:rsid w:val="001309C3"/>
    <w:rsid w:val="00130E3A"/>
    <w:rsid w:val="00131E75"/>
    <w:rsid w:val="001320F8"/>
    <w:rsid w:val="0013258B"/>
    <w:rsid w:val="00133313"/>
    <w:rsid w:val="00134FB6"/>
    <w:rsid w:val="0013513A"/>
    <w:rsid w:val="001352D7"/>
    <w:rsid w:val="001357FE"/>
    <w:rsid w:val="001379D1"/>
    <w:rsid w:val="00137E67"/>
    <w:rsid w:val="00137E92"/>
    <w:rsid w:val="00140462"/>
    <w:rsid w:val="001408DC"/>
    <w:rsid w:val="00140906"/>
    <w:rsid w:val="00140A8A"/>
    <w:rsid w:val="00141A87"/>
    <w:rsid w:val="00142442"/>
    <w:rsid w:val="00142763"/>
    <w:rsid w:val="00142A57"/>
    <w:rsid w:val="00142F21"/>
    <w:rsid w:val="00143A7C"/>
    <w:rsid w:val="00144DBE"/>
    <w:rsid w:val="00145D8A"/>
    <w:rsid w:val="001469D2"/>
    <w:rsid w:val="00146FAE"/>
    <w:rsid w:val="001471BB"/>
    <w:rsid w:val="00147CE9"/>
    <w:rsid w:val="00147F36"/>
    <w:rsid w:val="00151447"/>
    <w:rsid w:val="00152868"/>
    <w:rsid w:val="00152DAE"/>
    <w:rsid w:val="00153AB9"/>
    <w:rsid w:val="0015449C"/>
    <w:rsid w:val="00154722"/>
    <w:rsid w:val="001549AE"/>
    <w:rsid w:val="00154C40"/>
    <w:rsid w:val="00154E67"/>
    <w:rsid w:val="001550CD"/>
    <w:rsid w:val="001557D2"/>
    <w:rsid w:val="00155B8C"/>
    <w:rsid w:val="00155CB5"/>
    <w:rsid w:val="00155D66"/>
    <w:rsid w:val="00157AD1"/>
    <w:rsid w:val="00157BBB"/>
    <w:rsid w:val="00160880"/>
    <w:rsid w:val="001613CD"/>
    <w:rsid w:val="00161419"/>
    <w:rsid w:val="001625A9"/>
    <w:rsid w:val="001645F3"/>
    <w:rsid w:val="001647DF"/>
    <w:rsid w:val="00164AEF"/>
    <w:rsid w:val="00164C4B"/>
    <w:rsid w:val="001651A1"/>
    <w:rsid w:val="001659D5"/>
    <w:rsid w:val="00165ACA"/>
    <w:rsid w:val="00165C8B"/>
    <w:rsid w:val="00166089"/>
    <w:rsid w:val="00166905"/>
    <w:rsid w:val="00170531"/>
    <w:rsid w:val="00170678"/>
    <w:rsid w:val="00170EBC"/>
    <w:rsid w:val="0017187B"/>
    <w:rsid w:val="00171EE9"/>
    <w:rsid w:val="0017252A"/>
    <w:rsid w:val="001726FD"/>
    <w:rsid w:val="0017320F"/>
    <w:rsid w:val="00173937"/>
    <w:rsid w:val="00173A99"/>
    <w:rsid w:val="00173FFB"/>
    <w:rsid w:val="001741CF"/>
    <w:rsid w:val="00175049"/>
    <w:rsid w:val="00176212"/>
    <w:rsid w:val="00176597"/>
    <w:rsid w:val="00176B30"/>
    <w:rsid w:val="00176E66"/>
    <w:rsid w:val="00180317"/>
    <w:rsid w:val="001809F4"/>
    <w:rsid w:val="00180FBD"/>
    <w:rsid w:val="00181679"/>
    <w:rsid w:val="00181B14"/>
    <w:rsid w:val="001820D9"/>
    <w:rsid w:val="00182744"/>
    <w:rsid w:val="00183613"/>
    <w:rsid w:val="00183780"/>
    <w:rsid w:val="001840E2"/>
    <w:rsid w:val="00184362"/>
    <w:rsid w:val="00185225"/>
    <w:rsid w:val="0018579D"/>
    <w:rsid w:val="0018688B"/>
    <w:rsid w:val="001874B8"/>
    <w:rsid w:val="00187692"/>
    <w:rsid w:val="001876F3"/>
    <w:rsid w:val="00187995"/>
    <w:rsid w:val="00187F0D"/>
    <w:rsid w:val="00190180"/>
    <w:rsid w:val="00190EC3"/>
    <w:rsid w:val="001915C6"/>
    <w:rsid w:val="001919E8"/>
    <w:rsid w:val="00191C70"/>
    <w:rsid w:val="00191C72"/>
    <w:rsid w:val="00192110"/>
    <w:rsid w:val="001927F1"/>
    <w:rsid w:val="00192806"/>
    <w:rsid w:val="00192B2E"/>
    <w:rsid w:val="00192FAC"/>
    <w:rsid w:val="00193063"/>
    <w:rsid w:val="00194060"/>
    <w:rsid w:val="001943E9"/>
    <w:rsid w:val="00194A68"/>
    <w:rsid w:val="00194AF0"/>
    <w:rsid w:val="00194D46"/>
    <w:rsid w:val="00195183"/>
    <w:rsid w:val="0019528C"/>
    <w:rsid w:val="00195396"/>
    <w:rsid w:val="0019661C"/>
    <w:rsid w:val="00196C02"/>
    <w:rsid w:val="001A13BE"/>
    <w:rsid w:val="001A1C10"/>
    <w:rsid w:val="001A2E56"/>
    <w:rsid w:val="001A34AA"/>
    <w:rsid w:val="001A4149"/>
    <w:rsid w:val="001A428C"/>
    <w:rsid w:val="001A47CA"/>
    <w:rsid w:val="001A4990"/>
    <w:rsid w:val="001A5120"/>
    <w:rsid w:val="001A550C"/>
    <w:rsid w:val="001A60A0"/>
    <w:rsid w:val="001A7030"/>
    <w:rsid w:val="001A75DD"/>
    <w:rsid w:val="001B00FE"/>
    <w:rsid w:val="001B02C8"/>
    <w:rsid w:val="001B0E64"/>
    <w:rsid w:val="001B139E"/>
    <w:rsid w:val="001B173B"/>
    <w:rsid w:val="001B1825"/>
    <w:rsid w:val="001B282B"/>
    <w:rsid w:val="001B37F4"/>
    <w:rsid w:val="001B433D"/>
    <w:rsid w:val="001B490E"/>
    <w:rsid w:val="001B4EFC"/>
    <w:rsid w:val="001B5F58"/>
    <w:rsid w:val="001B6148"/>
    <w:rsid w:val="001B65F3"/>
    <w:rsid w:val="001B7280"/>
    <w:rsid w:val="001C0838"/>
    <w:rsid w:val="001C118F"/>
    <w:rsid w:val="001C1896"/>
    <w:rsid w:val="001C20BB"/>
    <w:rsid w:val="001C2540"/>
    <w:rsid w:val="001C3B9A"/>
    <w:rsid w:val="001C3DFB"/>
    <w:rsid w:val="001C5216"/>
    <w:rsid w:val="001C5512"/>
    <w:rsid w:val="001C6057"/>
    <w:rsid w:val="001D003A"/>
    <w:rsid w:val="001D005E"/>
    <w:rsid w:val="001D05F5"/>
    <w:rsid w:val="001D0CCE"/>
    <w:rsid w:val="001D1233"/>
    <w:rsid w:val="001D12DC"/>
    <w:rsid w:val="001D1F64"/>
    <w:rsid w:val="001D2609"/>
    <w:rsid w:val="001D2F61"/>
    <w:rsid w:val="001D3131"/>
    <w:rsid w:val="001D3269"/>
    <w:rsid w:val="001D327D"/>
    <w:rsid w:val="001D4ABD"/>
    <w:rsid w:val="001D4AE6"/>
    <w:rsid w:val="001D5092"/>
    <w:rsid w:val="001D574D"/>
    <w:rsid w:val="001D5BDC"/>
    <w:rsid w:val="001D6B4E"/>
    <w:rsid w:val="001E0AF8"/>
    <w:rsid w:val="001E140B"/>
    <w:rsid w:val="001E1887"/>
    <w:rsid w:val="001E1B2C"/>
    <w:rsid w:val="001E1D02"/>
    <w:rsid w:val="001E2FF5"/>
    <w:rsid w:val="001E3539"/>
    <w:rsid w:val="001E3545"/>
    <w:rsid w:val="001E3943"/>
    <w:rsid w:val="001E4D17"/>
    <w:rsid w:val="001E4F44"/>
    <w:rsid w:val="001E573C"/>
    <w:rsid w:val="001E57FC"/>
    <w:rsid w:val="001E5B6A"/>
    <w:rsid w:val="001E72C4"/>
    <w:rsid w:val="001E7401"/>
    <w:rsid w:val="001E7ED8"/>
    <w:rsid w:val="001F07E1"/>
    <w:rsid w:val="001F16AC"/>
    <w:rsid w:val="001F17CA"/>
    <w:rsid w:val="001F2A51"/>
    <w:rsid w:val="001F2BF7"/>
    <w:rsid w:val="001F3C23"/>
    <w:rsid w:val="001F40F6"/>
    <w:rsid w:val="001F4292"/>
    <w:rsid w:val="001F4B7F"/>
    <w:rsid w:val="001F4BE2"/>
    <w:rsid w:val="001F5AF0"/>
    <w:rsid w:val="001F6104"/>
    <w:rsid w:val="001F62EC"/>
    <w:rsid w:val="001F66C2"/>
    <w:rsid w:val="001F69DD"/>
    <w:rsid w:val="001F78C2"/>
    <w:rsid w:val="00200E93"/>
    <w:rsid w:val="00201112"/>
    <w:rsid w:val="002025EC"/>
    <w:rsid w:val="00202866"/>
    <w:rsid w:val="00202868"/>
    <w:rsid w:val="00202F94"/>
    <w:rsid w:val="00202FF9"/>
    <w:rsid w:val="0020315C"/>
    <w:rsid w:val="00203210"/>
    <w:rsid w:val="00203B1E"/>
    <w:rsid w:val="00203CA3"/>
    <w:rsid w:val="0020433B"/>
    <w:rsid w:val="00205C02"/>
    <w:rsid w:val="00205F7A"/>
    <w:rsid w:val="0020620F"/>
    <w:rsid w:val="0020695B"/>
    <w:rsid w:val="00206B17"/>
    <w:rsid w:val="00207128"/>
    <w:rsid w:val="00207220"/>
    <w:rsid w:val="00207278"/>
    <w:rsid w:val="00207D63"/>
    <w:rsid w:val="00210123"/>
    <w:rsid w:val="002102BF"/>
    <w:rsid w:val="002106B7"/>
    <w:rsid w:val="002111B1"/>
    <w:rsid w:val="002112C2"/>
    <w:rsid w:val="00211E49"/>
    <w:rsid w:val="00211EDA"/>
    <w:rsid w:val="002122AC"/>
    <w:rsid w:val="00212850"/>
    <w:rsid w:val="002130FF"/>
    <w:rsid w:val="0021370C"/>
    <w:rsid w:val="00213F43"/>
    <w:rsid w:val="00214789"/>
    <w:rsid w:val="00214F07"/>
    <w:rsid w:val="00214FE0"/>
    <w:rsid w:val="002150DB"/>
    <w:rsid w:val="00215CF8"/>
    <w:rsid w:val="00216192"/>
    <w:rsid w:val="00216236"/>
    <w:rsid w:val="00216908"/>
    <w:rsid w:val="002171CC"/>
    <w:rsid w:val="00217DDB"/>
    <w:rsid w:val="00220121"/>
    <w:rsid w:val="002202BE"/>
    <w:rsid w:val="00220881"/>
    <w:rsid w:val="00220DEA"/>
    <w:rsid w:val="00221309"/>
    <w:rsid w:val="002224BA"/>
    <w:rsid w:val="002227FF"/>
    <w:rsid w:val="00222DEF"/>
    <w:rsid w:val="00222F60"/>
    <w:rsid w:val="00223700"/>
    <w:rsid w:val="00226670"/>
    <w:rsid w:val="002266DE"/>
    <w:rsid w:val="00226B0D"/>
    <w:rsid w:val="00226D86"/>
    <w:rsid w:val="00227CBA"/>
    <w:rsid w:val="00230452"/>
    <w:rsid w:val="002309D5"/>
    <w:rsid w:val="00230F5A"/>
    <w:rsid w:val="00231AAC"/>
    <w:rsid w:val="00231B8B"/>
    <w:rsid w:val="00231DA4"/>
    <w:rsid w:val="00232481"/>
    <w:rsid w:val="00233195"/>
    <w:rsid w:val="0023333C"/>
    <w:rsid w:val="00235522"/>
    <w:rsid w:val="0023698E"/>
    <w:rsid w:val="00236D39"/>
    <w:rsid w:val="00236F3D"/>
    <w:rsid w:val="00237CEB"/>
    <w:rsid w:val="00237DAC"/>
    <w:rsid w:val="00237DF9"/>
    <w:rsid w:val="0024015F"/>
    <w:rsid w:val="002401D9"/>
    <w:rsid w:val="0024070E"/>
    <w:rsid w:val="00240823"/>
    <w:rsid w:val="00240F19"/>
    <w:rsid w:val="0024134C"/>
    <w:rsid w:val="002418EF"/>
    <w:rsid w:val="00241904"/>
    <w:rsid w:val="00241D7D"/>
    <w:rsid w:val="00241F5F"/>
    <w:rsid w:val="00243C98"/>
    <w:rsid w:val="00244084"/>
    <w:rsid w:val="002440C7"/>
    <w:rsid w:val="00244BDB"/>
    <w:rsid w:val="00244C7F"/>
    <w:rsid w:val="00246ECF"/>
    <w:rsid w:val="00247711"/>
    <w:rsid w:val="00247DD9"/>
    <w:rsid w:val="00250315"/>
    <w:rsid w:val="00250B4C"/>
    <w:rsid w:val="00251172"/>
    <w:rsid w:val="002514BD"/>
    <w:rsid w:val="00251E94"/>
    <w:rsid w:val="00251FAD"/>
    <w:rsid w:val="0025230E"/>
    <w:rsid w:val="002528DC"/>
    <w:rsid w:val="002531C2"/>
    <w:rsid w:val="00253C6B"/>
    <w:rsid w:val="00253C78"/>
    <w:rsid w:val="00254EA6"/>
    <w:rsid w:val="002565F5"/>
    <w:rsid w:val="002566ED"/>
    <w:rsid w:val="0025673A"/>
    <w:rsid w:val="00256E88"/>
    <w:rsid w:val="0025705A"/>
    <w:rsid w:val="0026015F"/>
    <w:rsid w:val="00260C4B"/>
    <w:rsid w:val="00260D22"/>
    <w:rsid w:val="00260ED2"/>
    <w:rsid w:val="00262422"/>
    <w:rsid w:val="00262A4C"/>
    <w:rsid w:val="00262A6E"/>
    <w:rsid w:val="00262CF9"/>
    <w:rsid w:val="00262D02"/>
    <w:rsid w:val="00262D16"/>
    <w:rsid w:val="00263289"/>
    <w:rsid w:val="0026329C"/>
    <w:rsid w:val="00263C60"/>
    <w:rsid w:val="00264864"/>
    <w:rsid w:val="00264BA8"/>
    <w:rsid w:val="002665C4"/>
    <w:rsid w:val="00266796"/>
    <w:rsid w:val="00266B18"/>
    <w:rsid w:val="00266C86"/>
    <w:rsid w:val="00267AEB"/>
    <w:rsid w:val="0027008D"/>
    <w:rsid w:val="00271367"/>
    <w:rsid w:val="00271869"/>
    <w:rsid w:val="00272CC8"/>
    <w:rsid w:val="00273DA6"/>
    <w:rsid w:val="00273DBE"/>
    <w:rsid w:val="00275B50"/>
    <w:rsid w:val="00275CDF"/>
    <w:rsid w:val="00275EAC"/>
    <w:rsid w:val="00276B23"/>
    <w:rsid w:val="00276F16"/>
    <w:rsid w:val="00276F23"/>
    <w:rsid w:val="002776D7"/>
    <w:rsid w:val="0027776E"/>
    <w:rsid w:val="0028015C"/>
    <w:rsid w:val="00280FCB"/>
    <w:rsid w:val="002812FE"/>
    <w:rsid w:val="00281623"/>
    <w:rsid w:val="00281649"/>
    <w:rsid w:val="002817D5"/>
    <w:rsid w:val="00281BDD"/>
    <w:rsid w:val="00281C4F"/>
    <w:rsid w:val="00282694"/>
    <w:rsid w:val="002828E5"/>
    <w:rsid w:val="002836B7"/>
    <w:rsid w:val="00283D23"/>
    <w:rsid w:val="002841A1"/>
    <w:rsid w:val="00286127"/>
    <w:rsid w:val="00286337"/>
    <w:rsid w:val="00286480"/>
    <w:rsid w:val="002865A5"/>
    <w:rsid w:val="0028698C"/>
    <w:rsid w:val="0028712F"/>
    <w:rsid w:val="002872B6"/>
    <w:rsid w:val="00287489"/>
    <w:rsid w:val="00287EAA"/>
    <w:rsid w:val="002907D0"/>
    <w:rsid w:val="00291F14"/>
    <w:rsid w:val="002921B4"/>
    <w:rsid w:val="00294217"/>
    <w:rsid w:val="00294E59"/>
    <w:rsid w:val="00294F76"/>
    <w:rsid w:val="00295428"/>
    <w:rsid w:val="0029661F"/>
    <w:rsid w:val="00296639"/>
    <w:rsid w:val="00297044"/>
    <w:rsid w:val="002975AA"/>
    <w:rsid w:val="00297C1F"/>
    <w:rsid w:val="00297D52"/>
    <w:rsid w:val="002A051E"/>
    <w:rsid w:val="002A0669"/>
    <w:rsid w:val="002A1095"/>
    <w:rsid w:val="002A1302"/>
    <w:rsid w:val="002A20CA"/>
    <w:rsid w:val="002A2C46"/>
    <w:rsid w:val="002A2D0D"/>
    <w:rsid w:val="002A3110"/>
    <w:rsid w:val="002A341C"/>
    <w:rsid w:val="002A420A"/>
    <w:rsid w:val="002A462E"/>
    <w:rsid w:val="002A4DFE"/>
    <w:rsid w:val="002A6EF3"/>
    <w:rsid w:val="002A6F0B"/>
    <w:rsid w:val="002A725C"/>
    <w:rsid w:val="002A7EC5"/>
    <w:rsid w:val="002B0124"/>
    <w:rsid w:val="002B016F"/>
    <w:rsid w:val="002B14BB"/>
    <w:rsid w:val="002B15B3"/>
    <w:rsid w:val="002B1A2E"/>
    <w:rsid w:val="002B1DDB"/>
    <w:rsid w:val="002B2117"/>
    <w:rsid w:val="002B310D"/>
    <w:rsid w:val="002B442E"/>
    <w:rsid w:val="002B4528"/>
    <w:rsid w:val="002B483D"/>
    <w:rsid w:val="002B4A1A"/>
    <w:rsid w:val="002B4B39"/>
    <w:rsid w:val="002B4DA5"/>
    <w:rsid w:val="002B5020"/>
    <w:rsid w:val="002B70E7"/>
    <w:rsid w:val="002B7171"/>
    <w:rsid w:val="002B79AD"/>
    <w:rsid w:val="002C142D"/>
    <w:rsid w:val="002C190A"/>
    <w:rsid w:val="002C2BC4"/>
    <w:rsid w:val="002C35E8"/>
    <w:rsid w:val="002C4F14"/>
    <w:rsid w:val="002C6262"/>
    <w:rsid w:val="002C64D2"/>
    <w:rsid w:val="002C6BF7"/>
    <w:rsid w:val="002C6FB8"/>
    <w:rsid w:val="002C76AB"/>
    <w:rsid w:val="002C7DF2"/>
    <w:rsid w:val="002D09CA"/>
    <w:rsid w:val="002D0A50"/>
    <w:rsid w:val="002D0B4F"/>
    <w:rsid w:val="002D10A1"/>
    <w:rsid w:val="002D1901"/>
    <w:rsid w:val="002D1B97"/>
    <w:rsid w:val="002D1C50"/>
    <w:rsid w:val="002D288F"/>
    <w:rsid w:val="002D2C66"/>
    <w:rsid w:val="002D3239"/>
    <w:rsid w:val="002D35EF"/>
    <w:rsid w:val="002D3B53"/>
    <w:rsid w:val="002D47C5"/>
    <w:rsid w:val="002D51C6"/>
    <w:rsid w:val="002D57E6"/>
    <w:rsid w:val="002D5E46"/>
    <w:rsid w:val="002D651B"/>
    <w:rsid w:val="002D7F94"/>
    <w:rsid w:val="002E127E"/>
    <w:rsid w:val="002E177D"/>
    <w:rsid w:val="002E20CA"/>
    <w:rsid w:val="002E2414"/>
    <w:rsid w:val="002E2896"/>
    <w:rsid w:val="002E2D72"/>
    <w:rsid w:val="002E32B1"/>
    <w:rsid w:val="002E3660"/>
    <w:rsid w:val="002E5562"/>
    <w:rsid w:val="002E6987"/>
    <w:rsid w:val="002E7394"/>
    <w:rsid w:val="002E744F"/>
    <w:rsid w:val="002F0ABB"/>
    <w:rsid w:val="002F0D9B"/>
    <w:rsid w:val="002F155C"/>
    <w:rsid w:val="002F24D2"/>
    <w:rsid w:val="002F3E5B"/>
    <w:rsid w:val="002F3F0D"/>
    <w:rsid w:val="002F3F20"/>
    <w:rsid w:val="002F47D6"/>
    <w:rsid w:val="002F4B2D"/>
    <w:rsid w:val="002F5298"/>
    <w:rsid w:val="002F59FD"/>
    <w:rsid w:val="002F5E98"/>
    <w:rsid w:val="0030032F"/>
    <w:rsid w:val="0030042E"/>
    <w:rsid w:val="00300B10"/>
    <w:rsid w:val="00300BE2"/>
    <w:rsid w:val="00302C67"/>
    <w:rsid w:val="003031B5"/>
    <w:rsid w:val="00304F25"/>
    <w:rsid w:val="00305627"/>
    <w:rsid w:val="0030572A"/>
    <w:rsid w:val="00305DA8"/>
    <w:rsid w:val="00305E1B"/>
    <w:rsid w:val="00306A69"/>
    <w:rsid w:val="00306C7F"/>
    <w:rsid w:val="00306EB9"/>
    <w:rsid w:val="00307AE9"/>
    <w:rsid w:val="00307E23"/>
    <w:rsid w:val="00310147"/>
    <w:rsid w:val="0031040F"/>
    <w:rsid w:val="00311501"/>
    <w:rsid w:val="00311E8E"/>
    <w:rsid w:val="00312FAB"/>
    <w:rsid w:val="003139B1"/>
    <w:rsid w:val="00313CD3"/>
    <w:rsid w:val="00316AD4"/>
    <w:rsid w:val="00316C1C"/>
    <w:rsid w:val="003221EF"/>
    <w:rsid w:val="00324DCA"/>
    <w:rsid w:val="00325785"/>
    <w:rsid w:val="003266C5"/>
    <w:rsid w:val="0032777C"/>
    <w:rsid w:val="003302AC"/>
    <w:rsid w:val="003304F2"/>
    <w:rsid w:val="00332FB4"/>
    <w:rsid w:val="00333678"/>
    <w:rsid w:val="00333AA4"/>
    <w:rsid w:val="00334320"/>
    <w:rsid w:val="0033456C"/>
    <w:rsid w:val="003345E5"/>
    <w:rsid w:val="0033517D"/>
    <w:rsid w:val="003358C0"/>
    <w:rsid w:val="003361B8"/>
    <w:rsid w:val="00337C12"/>
    <w:rsid w:val="00337F65"/>
    <w:rsid w:val="00340B92"/>
    <w:rsid w:val="00342126"/>
    <w:rsid w:val="00342768"/>
    <w:rsid w:val="003439C9"/>
    <w:rsid w:val="00343AD3"/>
    <w:rsid w:val="00343AD6"/>
    <w:rsid w:val="00343DD6"/>
    <w:rsid w:val="003445E6"/>
    <w:rsid w:val="00344981"/>
    <w:rsid w:val="00344ACA"/>
    <w:rsid w:val="00344B05"/>
    <w:rsid w:val="00345662"/>
    <w:rsid w:val="003465ED"/>
    <w:rsid w:val="00346EE0"/>
    <w:rsid w:val="00347F02"/>
    <w:rsid w:val="00347F93"/>
    <w:rsid w:val="00350AC9"/>
    <w:rsid w:val="00351815"/>
    <w:rsid w:val="00351AD0"/>
    <w:rsid w:val="00351ECD"/>
    <w:rsid w:val="00351F89"/>
    <w:rsid w:val="0035255C"/>
    <w:rsid w:val="003541B0"/>
    <w:rsid w:val="00354792"/>
    <w:rsid w:val="00354C4D"/>
    <w:rsid w:val="00354FD5"/>
    <w:rsid w:val="00355937"/>
    <w:rsid w:val="00356154"/>
    <w:rsid w:val="0035669A"/>
    <w:rsid w:val="00356BDA"/>
    <w:rsid w:val="0035751C"/>
    <w:rsid w:val="00357689"/>
    <w:rsid w:val="00357AB7"/>
    <w:rsid w:val="00360AE5"/>
    <w:rsid w:val="00360DE4"/>
    <w:rsid w:val="00360E07"/>
    <w:rsid w:val="00361440"/>
    <w:rsid w:val="0036152B"/>
    <w:rsid w:val="00361BDE"/>
    <w:rsid w:val="00361C76"/>
    <w:rsid w:val="003627D5"/>
    <w:rsid w:val="00363B33"/>
    <w:rsid w:val="0036407F"/>
    <w:rsid w:val="00364EEB"/>
    <w:rsid w:val="00365209"/>
    <w:rsid w:val="00365E59"/>
    <w:rsid w:val="00366560"/>
    <w:rsid w:val="00370030"/>
    <w:rsid w:val="00370A7E"/>
    <w:rsid w:val="0037110B"/>
    <w:rsid w:val="00371BCB"/>
    <w:rsid w:val="00371C9C"/>
    <w:rsid w:val="00372834"/>
    <w:rsid w:val="003733D7"/>
    <w:rsid w:val="00373EFE"/>
    <w:rsid w:val="003740BF"/>
    <w:rsid w:val="00374319"/>
    <w:rsid w:val="0037526E"/>
    <w:rsid w:val="003755F3"/>
    <w:rsid w:val="003760B6"/>
    <w:rsid w:val="00377901"/>
    <w:rsid w:val="00380B54"/>
    <w:rsid w:val="003813D4"/>
    <w:rsid w:val="0038272B"/>
    <w:rsid w:val="00382CED"/>
    <w:rsid w:val="003839A1"/>
    <w:rsid w:val="00383F1A"/>
    <w:rsid w:val="0038478E"/>
    <w:rsid w:val="0038660B"/>
    <w:rsid w:val="0038682B"/>
    <w:rsid w:val="00386C36"/>
    <w:rsid w:val="00386D07"/>
    <w:rsid w:val="003871E6"/>
    <w:rsid w:val="003872DA"/>
    <w:rsid w:val="00387369"/>
    <w:rsid w:val="00387DCE"/>
    <w:rsid w:val="00390A3E"/>
    <w:rsid w:val="00390FF6"/>
    <w:rsid w:val="00391864"/>
    <w:rsid w:val="003919CA"/>
    <w:rsid w:val="003919FD"/>
    <w:rsid w:val="00391CE7"/>
    <w:rsid w:val="00391FA3"/>
    <w:rsid w:val="003923B5"/>
    <w:rsid w:val="00392729"/>
    <w:rsid w:val="0039314E"/>
    <w:rsid w:val="00393A45"/>
    <w:rsid w:val="00393BC9"/>
    <w:rsid w:val="00394EDA"/>
    <w:rsid w:val="003956D3"/>
    <w:rsid w:val="003959DF"/>
    <w:rsid w:val="00396775"/>
    <w:rsid w:val="003971F9"/>
    <w:rsid w:val="003A0386"/>
    <w:rsid w:val="003A29F2"/>
    <w:rsid w:val="003A2AD2"/>
    <w:rsid w:val="003A3550"/>
    <w:rsid w:val="003A35BC"/>
    <w:rsid w:val="003A415F"/>
    <w:rsid w:val="003A4BBD"/>
    <w:rsid w:val="003A6FB5"/>
    <w:rsid w:val="003A74E8"/>
    <w:rsid w:val="003B1563"/>
    <w:rsid w:val="003B1B39"/>
    <w:rsid w:val="003B1D06"/>
    <w:rsid w:val="003B1F0F"/>
    <w:rsid w:val="003B2649"/>
    <w:rsid w:val="003B2D4B"/>
    <w:rsid w:val="003B2DDF"/>
    <w:rsid w:val="003B3700"/>
    <w:rsid w:val="003B3DD8"/>
    <w:rsid w:val="003B3E1D"/>
    <w:rsid w:val="003B3E9F"/>
    <w:rsid w:val="003B4760"/>
    <w:rsid w:val="003B49F5"/>
    <w:rsid w:val="003B4B53"/>
    <w:rsid w:val="003B50F4"/>
    <w:rsid w:val="003B6C75"/>
    <w:rsid w:val="003B7706"/>
    <w:rsid w:val="003B78DE"/>
    <w:rsid w:val="003B7C38"/>
    <w:rsid w:val="003C046D"/>
    <w:rsid w:val="003C0810"/>
    <w:rsid w:val="003C0B34"/>
    <w:rsid w:val="003C17DA"/>
    <w:rsid w:val="003C1AA8"/>
    <w:rsid w:val="003C1D1F"/>
    <w:rsid w:val="003C224B"/>
    <w:rsid w:val="003C3A08"/>
    <w:rsid w:val="003C3AE4"/>
    <w:rsid w:val="003C3D8E"/>
    <w:rsid w:val="003C3E98"/>
    <w:rsid w:val="003C4ABE"/>
    <w:rsid w:val="003C5139"/>
    <w:rsid w:val="003C51A0"/>
    <w:rsid w:val="003C59F8"/>
    <w:rsid w:val="003C5E5F"/>
    <w:rsid w:val="003C638F"/>
    <w:rsid w:val="003C6C23"/>
    <w:rsid w:val="003C6C3A"/>
    <w:rsid w:val="003C72E2"/>
    <w:rsid w:val="003C7AAE"/>
    <w:rsid w:val="003C7CBE"/>
    <w:rsid w:val="003D0313"/>
    <w:rsid w:val="003D131C"/>
    <w:rsid w:val="003D1518"/>
    <w:rsid w:val="003D15CD"/>
    <w:rsid w:val="003D1935"/>
    <w:rsid w:val="003D1A19"/>
    <w:rsid w:val="003D2544"/>
    <w:rsid w:val="003D44B9"/>
    <w:rsid w:val="003D597D"/>
    <w:rsid w:val="003D6F8E"/>
    <w:rsid w:val="003D7F0A"/>
    <w:rsid w:val="003E0B83"/>
    <w:rsid w:val="003E170B"/>
    <w:rsid w:val="003E1A33"/>
    <w:rsid w:val="003E2A66"/>
    <w:rsid w:val="003E2BBC"/>
    <w:rsid w:val="003E2E5F"/>
    <w:rsid w:val="003E2F0C"/>
    <w:rsid w:val="003E3467"/>
    <w:rsid w:val="003E3A29"/>
    <w:rsid w:val="003E3D91"/>
    <w:rsid w:val="003E4352"/>
    <w:rsid w:val="003E4711"/>
    <w:rsid w:val="003E4A8A"/>
    <w:rsid w:val="003E5A17"/>
    <w:rsid w:val="003F060A"/>
    <w:rsid w:val="003F1867"/>
    <w:rsid w:val="003F1B42"/>
    <w:rsid w:val="003F1D66"/>
    <w:rsid w:val="003F20C0"/>
    <w:rsid w:val="003F2774"/>
    <w:rsid w:val="003F2CA1"/>
    <w:rsid w:val="003F343A"/>
    <w:rsid w:val="003F38B9"/>
    <w:rsid w:val="003F476C"/>
    <w:rsid w:val="003F524D"/>
    <w:rsid w:val="003F5517"/>
    <w:rsid w:val="003F6202"/>
    <w:rsid w:val="003F78EC"/>
    <w:rsid w:val="003F7CE5"/>
    <w:rsid w:val="00400C14"/>
    <w:rsid w:val="004020D9"/>
    <w:rsid w:val="004035FE"/>
    <w:rsid w:val="00403741"/>
    <w:rsid w:val="004043AB"/>
    <w:rsid w:val="00405297"/>
    <w:rsid w:val="00405ABC"/>
    <w:rsid w:val="00405D67"/>
    <w:rsid w:val="00405DCF"/>
    <w:rsid w:val="00406C09"/>
    <w:rsid w:val="0040741D"/>
    <w:rsid w:val="0040779F"/>
    <w:rsid w:val="0040780E"/>
    <w:rsid w:val="00407BB8"/>
    <w:rsid w:val="00407E67"/>
    <w:rsid w:val="004102FF"/>
    <w:rsid w:val="00410990"/>
    <w:rsid w:val="004118D5"/>
    <w:rsid w:val="00412F2A"/>
    <w:rsid w:val="004131BC"/>
    <w:rsid w:val="00413BC6"/>
    <w:rsid w:val="00414261"/>
    <w:rsid w:val="00415327"/>
    <w:rsid w:val="00415D2F"/>
    <w:rsid w:val="00415E5B"/>
    <w:rsid w:val="00415F21"/>
    <w:rsid w:val="004166EC"/>
    <w:rsid w:val="0041711C"/>
    <w:rsid w:val="004174AC"/>
    <w:rsid w:val="00417C8B"/>
    <w:rsid w:val="0042060F"/>
    <w:rsid w:val="00420969"/>
    <w:rsid w:val="00420A37"/>
    <w:rsid w:val="00420C9F"/>
    <w:rsid w:val="00420CF7"/>
    <w:rsid w:val="004210E6"/>
    <w:rsid w:val="0042182D"/>
    <w:rsid w:val="00421928"/>
    <w:rsid w:val="00422221"/>
    <w:rsid w:val="004225D5"/>
    <w:rsid w:val="004225DB"/>
    <w:rsid w:val="00423C0E"/>
    <w:rsid w:val="0042476D"/>
    <w:rsid w:val="00424979"/>
    <w:rsid w:val="00425703"/>
    <w:rsid w:val="004261CA"/>
    <w:rsid w:val="00426268"/>
    <w:rsid w:val="00426418"/>
    <w:rsid w:val="00426C19"/>
    <w:rsid w:val="00427259"/>
    <w:rsid w:val="00427372"/>
    <w:rsid w:val="0042772D"/>
    <w:rsid w:val="00430243"/>
    <w:rsid w:val="00430CBB"/>
    <w:rsid w:val="00431483"/>
    <w:rsid w:val="00431A4D"/>
    <w:rsid w:val="004329A5"/>
    <w:rsid w:val="00432A87"/>
    <w:rsid w:val="00433225"/>
    <w:rsid w:val="00433B92"/>
    <w:rsid w:val="0043501A"/>
    <w:rsid w:val="00435135"/>
    <w:rsid w:val="0043534D"/>
    <w:rsid w:val="004357A8"/>
    <w:rsid w:val="00435A9E"/>
    <w:rsid w:val="00435B46"/>
    <w:rsid w:val="004361D4"/>
    <w:rsid w:val="0043653B"/>
    <w:rsid w:val="00437CBC"/>
    <w:rsid w:val="00441570"/>
    <w:rsid w:val="004416A2"/>
    <w:rsid w:val="00441A42"/>
    <w:rsid w:val="00442F12"/>
    <w:rsid w:val="00442FBE"/>
    <w:rsid w:val="004430A9"/>
    <w:rsid w:val="00444CAF"/>
    <w:rsid w:val="00447AF9"/>
    <w:rsid w:val="00447D96"/>
    <w:rsid w:val="00447F62"/>
    <w:rsid w:val="0045004F"/>
    <w:rsid w:val="00450771"/>
    <w:rsid w:val="0045180D"/>
    <w:rsid w:val="00451A8C"/>
    <w:rsid w:val="00452C82"/>
    <w:rsid w:val="0045316E"/>
    <w:rsid w:val="00453328"/>
    <w:rsid w:val="00454667"/>
    <w:rsid w:val="00455903"/>
    <w:rsid w:val="004579B6"/>
    <w:rsid w:val="00460515"/>
    <w:rsid w:val="00460703"/>
    <w:rsid w:val="00460983"/>
    <w:rsid w:val="0046101E"/>
    <w:rsid w:val="00461176"/>
    <w:rsid w:val="00461181"/>
    <w:rsid w:val="0046181E"/>
    <w:rsid w:val="004620D6"/>
    <w:rsid w:val="00462C7B"/>
    <w:rsid w:val="00462CB7"/>
    <w:rsid w:val="00462F1B"/>
    <w:rsid w:val="004631EC"/>
    <w:rsid w:val="00463411"/>
    <w:rsid w:val="00463DB1"/>
    <w:rsid w:val="004642AA"/>
    <w:rsid w:val="0046446B"/>
    <w:rsid w:val="00464678"/>
    <w:rsid w:val="00464C99"/>
    <w:rsid w:val="004650A4"/>
    <w:rsid w:val="00465197"/>
    <w:rsid w:val="0046558C"/>
    <w:rsid w:val="00465951"/>
    <w:rsid w:val="0046688D"/>
    <w:rsid w:val="00466D32"/>
    <w:rsid w:val="00466E21"/>
    <w:rsid w:val="004670AC"/>
    <w:rsid w:val="00467C8C"/>
    <w:rsid w:val="00470046"/>
    <w:rsid w:val="00471A64"/>
    <w:rsid w:val="00471E4B"/>
    <w:rsid w:val="0047274D"/>
    <w:rsid w:val="00472849"/>
    <w:rsid w:val="00472C08"/>
    <w:rsid w:val="00472C88"/>
    <w:rsid w:val="004731C0"/>
    <w:rsid w:val="0047345A"/>
    <w:rsid w:val="00475156"/>
    <w:rsid w:val="00475806"/>
    <w:rsid w:val="00475F67"/>
    <w:rsid w:val="00476621"/>
    <w:rsid w:val="00476E91"/>
    <w:rsid w:val="00477311"/>
    <w:rsid w:val="00477907"/>
    <w:rsid w:val="00477BFC"/>
    <w:rsid w:val="00477FCA"/>
    <w:rsid w:val="004805D1"/>
    <w:rsid w:val="004818BC"/>
    <w:rsid w:val="004818E5"/>
    <w:rsid w:val="0048316A"/>
    <w:rsid w:val="004831FD"/>
    <w:rsid w:val="0048345E"/>
    <w:rsid w:val="0048368E"/>
    <w:rsid w:val="00483BA1"/>
    <w:rsid w:val="00484A43"/>
    <w:rsid w:val="00485427"/>
    <w:rsid w:val="00486C7B"/>
    <w:rsid w:val="004871C1"/>
    <w:rsid w:val="0048739C"/>
    <w:rsid w:val="0048761F"/>
    <w:rsid w:val="00490E23"/>
    <w:rsid w:val="00491BC1"/>
    <w:rsid w:val="004920CC"/>
    <w:rsid w:val="0049318D"/>
    <w:rsid w:val="0049321A"/>
    <w:rsid w:val="0049425C"/>
    <w:rsid w:val="00494A01"/>
    <w:rsid w:val="00494AD3"/>
    <w:rsid w:val="00494D2F"/>
    <w:rsid w:val="004954B7"/>
    <w:rsid w:val="00496239"/>
    <w:rsid w:val="00497586"/>
    <w:rsid w:val="004A0DE6"/>
    <w:rsid w:val="004A0E20"/>
    <w:rsid w:val="004A11A8"/>
    <w:rsid w:val="004A21C9"/>
    <w:rsid w:val="004A29E7"/>
    <w:rsid w:val="004A2F6F"/>
    <w:rsid w:val="004A3282"/>
    <w:rsid w:val="004A358D"/>
    <w:rsid w:val="004A368C"/>
    <w:rsid w:val="004A39A7"/>
    <w:rsid w:val="004A39E1"/>
    <w:rsid w:val="004A4302"/>
    <w:rsid w:val="004A4A42"/>
    <w:rsid w:val="004A4FFA"/>
    <w:rsid w:val="004A62D9"/>
    <w:rsid w:val="004A6455"/>
    <w:rsid w:val="004A6C4A"/>
    <w:rsid w:val="004B008B"/>
    <w:rsid w:val="004B02FE"/>
    <w:rsid w:val="004B0495"/>
    <w:rsid w:val="004B0C21"/>
    <w:rsid w:val="004B0D83"/>
    <w:rsid w:val="004B14F6"/>
    <w:rsid w:val="004B162C"/>
    <w:rsid w:val="004B2BB3"/>
    <w:rsid w:val="004B3591"/>
    <w:rsid w:val="004B4917"/>
    <w:rsid w:val="004B4CAC"/>
    <w:rsid w:val="004B6F15"/>
    <w:rsid w:val="004B7E1B"/>
    <w:rsid w:val="004C00F2"/>
    <w:rsid w:val="004C07DC"/>
    <w:rsid w:val="004C0B0E"/>
    <w:rsid w:val="004C17ED"/>
    <w:rsid w:val="004C1913"/>
    <w:rsid w:val="004C21E9"/>
    <w:rsid w:val="004C2411"/>
    <w:rsid w:val="004C3B0B"/>
    <w:rsid w:val="004C3D0B"/>
    <w:rsid w:val="004C4EE7"/>
    <w:rsid w:val="004C5443"/>
    <w:rsid w:val="004C5A8D"/>
    <w:rsid w:val="004C5BC4"/>
    <w:rsid w:val="004C7C79"/>
    <w:rsid w:val="004C7D0C"/>
    <w:rsid w:val="004C7E64"/>
    <w:rsid w:val="004C7E83"/>
    <w:rsid w:val="004C7FEC"/>
    <w:rsid w:val="004D0169"/>
    <w:rsid w:val="004D076F"/>
    <w:rsid w:val="004D0D0D"/>
    <w:rsid w:val="004D1922"/>
    <w:rsid w:val="004D2533"/>
    <w:rsid w:val="004D441C"/>
    <w:rsid w:val="004D5ACA"/>
    <w:rsid w:val="004D5F3F"/>
    <w:rsid w:val="004D6D5E"/>
    <w:rsid w:val="004D71EB"/>
    <w:rsid w:val="004D792C"/>
    <w:rsid w:val="004E0A4F"/>
    <w:rsid w:val="004E22AA"/>
    <w:rsid w:val="004E3AAE"/>
    <w:rsid w:val="004E3CA0"/>
    <w:rsid w:val="004E46F8"/>
    <w:rsid w:val="004E4801"/>
    <w:rsid w:val="004E4C59"/>
    <w:rsid w:val="004E4E94"/>
    <w:rsid w:val="004E4F2C"/>
    <w:rsid w:val="004E4FC2"/>
    <w:rsid w:val="004E522A"/>
    <w:rsid w:val="004E55CF"/>
    <w:rsid w:val="004E5B05"/>
    <w:rsid w:val="004E694E"/>
    <w:rsid w:val="004E6D48"/>
    <w:rsid w:val="004F014E"/>
    <w:rsid w:val="004F1B71"/>
    <w:rsid w:val="004F1CBB"/>
    <w:rsid w:val="004F1D62"/>
    <w:rsid w:val="004F2A7A"/>
    <w:rsid w:val="004F3D81"/>
    <w:rsid w:val="004F3FE3"/>
    <w:rsid w:val="004F495D"/>
    <w:rsid w:val="004F5A3A"/>
    <w:rsid w:val="004F5D56"/>
    <w:rsid w:val="004F61B4"/>
    <w:rsid w:val="004F6419"/>
    <w:rsid w:val="004F6501"/>
    <w:rsid w:val="004F6F84"/>
    <w:rsid w:val="004F741A"/>
    <w:rsid w:val="005001F0"/>
    <w:rsid w:val="0050081E"/>
    <w:rsid w:val="00500B35"/>
    <w:rsid w:val="00500E04"/>
    <w:rsid w:val="005017D4"/>
    <w:rsid w:val="0050295C"/>
    <w:rsid w:val="00503659"/>
    <w:rsid w:val="00504A57"/>
    <w:rsid w:val="00505753"/>
    <w:rsid w:val="00505BC5"/>
    <w:rsid w:val="00505E60"/>
    <w:rsid w:val="00506356"/>
    <w:rsid w:val="005077A2"/>
    <w:rsid w:val="00507A3F"/>
    <w:rsid w:val="00507EB8"/>
    <w:rsid w:val="00510B27"/>
    <w:rsid w:val="00510D23"/>
    <w:rsid w:val="005125B5"/>
    <w:rsid w:val="005127E4"/>
    <w:rsid w:val="0051300C"/>
    <w:rsid w:val="005131ED"/>
    <w:rsid w:val="005131FB"/>
    <w:rsid w:val="00513727"/>
    <w:rsid w:val="00513E38"/>
    <w:rsid w:val="005147C3"/>
    <w:rsid w:val="00515191"/>
    <w:rsid w:val="00515370"/>
    <w:rsid w:val="00515B7D"/>
    <w:rsid w:val="00515D52"/>
    <w:rsid w:val="005175CF"/>
    <w:rsid w:val="00517CEF"/>
    <w:rsid w:val="00521075"/>
    <w:rsid w:val="0052156A"/>
    <w:rsid w:val="00521CB9"/>
    <w:rsid w:val="0052273E"/>
    <w:rsid w:val="00523052"/>
    <w:rsid w:val="0052321B"/>
    <w:rsid w:val="00523D18"/>
    <w:rsid w:val="005241F0"/>
    <w:rsid w:val="0052485C"/>
    <w:rsid w:val="00524C63"/>
    <w:rsid w:val="00525367"/>
    <w:rsid w:val="005257ED"/>
    <w:rsid w:val="00526790"/>
    <w:rsid w:val="00526FF2"/>
    <w:rsid w:val="00527887"/>
    <w:rsid w:val="00527B00"/>
    <w:rsid w:val="005306BE"/>
    <w:rsid w:val="00530B1D"/>
    <w:rsid w:val="00531097"/>
    <w:rsid w:val="00532027"/>
    <w:rsid w:val="0053387E"/>
    <w:rsid w:val="00534A5C"/>
    <w:rsid w:val="00534D05"/>
    <w:rsid w:val="00534E9C"/>
    <w:rsid w:val="00534F49"/>
    <w:rsid w:val="00534FB7"/>
    <w:rsid w:val="005352E6"/>
    <w:rsid w:val="0053582A"/>
    <w:rsid w:val="00536009"/>
    <w:rsid w:val="00536372"/>
    <w:rsid w:val="00536722"/>
    <w:rsid w:val="00536A7D"/>
    <w:rsid w:val="00536D7A"/>
    <w:rsid w:val="00536E4E"/>
    <w:rsid w:val="00536F1C"/>
    <w:rsid w:val="00537888"/>
    <w:rsid w:val="00537AC5"/>
    <w:rsid w:val="00537D1A"/>
    <w:rsid w:val="00537D48"/>
    <w:rsid w:val="00537D84"/>
    <w:rsid w:val="00537E94"/>
    <w:rsid w:val="005407B9"/>
    <w:rsid w:val="00540D06"/>
    <w:rsid w:val="00540EA8"/>
    <w:rsid w:val="00541E20"/>
    <w:rsid w:val="005425CC"/>
    <w:rsid w:val="00542BA7"/>
    <w:rsid w:val="0054312F"/>
    <w:rsid w:val="00543555"/>
    <w:rsid w:val="00543D29"/>
    <w:rsid w:val="00544018"/>
    <w:rsid w:val="005443BA"/>
    <w:rsid w:val="00545CBB"/>
    <w:rsid w:val="00546063"/>
    <w:rsid w:val="00546A61"/>
    <w:rsid w:val="00547120"/>
    <w:rsid w:val="00550BFB"/>
    <w:rsid w:val="00550D91"/>
    <w:rsid w:val="00551AAF"/>
    <w:rsid w:val="00551CC1"/>
    <w:rsid w:val="00552D7D"/>
    <w:rsid w:val="00552F32"/>
    <w:rsid w:val="00552FF9"/>
    <w:rsid w:val="00553EFF"/>
    <w:rsid w:val="00554C33"/>
    <w:rsid w:val="00555131"/>
    <w:rsid w:val="005555A6"/>
    <w:rsid w:val="0055790F"/>
    <w:rsid w:val="00557EB3"/>
    <w:rsid w:val="00560040"/>
    <w:rsid w:val="005604FA"/>
    <w:rsid w:val="00560B86"/>
    <w:rsid w:val="00560EF0"/>
    <w:rsid w:val="0056142C"/>
    <w:rsid w:val="00563170"/>
    <w:rsid w:val="005632D4"/>
    <w:rsid w:val="005635B5"/>
    <w:rsid w:val="0056423C"/>
    <w:rsid w:val="005644FF"/>
    <w:rsid w:val="00564699"/>
    <w:rsid w:val="00564A62"/>
    <w:rsid w:val="0056596C"/>
    <w:rsid w:val="00566BBB"/>
    <w:rsid w:val="00567827"/>
    <w:rsid w:val="00567BA2"/>
    <w:rsid w:val="00567C47"/>
    <w:rsid w:val="00567D1F"/>
    <w:rsid w:val="00570429"/>
    <w:rsid w:val="00570801"/>
    <w:rsid w:val="00570A87"/>
    <w:rsid w:val="00570F07"/>
    <w:rsid w:val="00571F50"/>
    <w:rsid w:val="005725C1"/>
    <w:rsid w:val="0057358C"/>
    <w:rsid w:val="00574769"/>
    <w:rsid w:val="0057484E"/>
    <w:rsid w:val="005750F7"/>
    <w:rsid w:val="00575876"/>
    <w:rsid w:val="005760D4"/>
    <w:rsid w:val="00576987"/>
    <w:rsid w:val="0057725F"/>
    <w:rsid w:val="00577566"/>
    <w:rsid w:val="00577575"/>
    <w:rsid w:val="00577620"/>
    <w:rsid w:val="00577F7E"/>
    <w:rsid w:val="00580552"/>
    <w:rsid w:val="00580946"/>
    <w:rsid w:val="00580AA0"/>
    <w:rsid w:val="00580CAD"/>
    <w:rsid w:val="00580DA8"/>
    <w:rsid w:val="00581501"/>
    <w:rsid w:val="00581683"/>
    <w:rsid w:val="0058186F"/>
    <w:rsid w:val="005823B1"/>
    <w:rsid w:val="005844F4"/>
    <w:rsid w:val="00584F9C"/>
    <w:rsid w:val="005850B6"/>
    <w:rsid w:val="00585D77"/>
    <w:rsid w:val="005869D3"/>
    <w:rsid w:val="00586A8F"/>
    <w:rsid w:val="00587E50"/>
    <w:rsid w:val="00587F9F"/>
    <w:rsid w:val="00591173"/>
    <w:rsid w:val="00591707"/>
    <w:rsid w:val="00592101"/>
    <w:rsid w:val="0059211A"/>
    <w:rsid w:val="005928F7"/>
    <w:rsid w:val="00594826"/>
    <w:rsid w:val="00595196"/>
    <w:rsid w:val="00595568"/>
    <w:rsid w:val="005955CE"/>
    <w:rsid w:val="00596A45"/>
    <w:rsid w:val="00597AC2"/>
    <w:rsid w:val="005A0763"/>
    <w:rsid w:val="005A0837"/>
    <w:rsid w:val="005A0A2B"/>
    <w:rsid w:val="005A0C9C"/>
    <w:rsid w:val="005A125E"/>
    <w:rsid w:val="005A1616"/>
    <w:rsid w:val="005A208D"/>
    <w:rsid w:val="005A2640"/>
    <w:rsid w:val="005A3565"/>
    <w:rsid w:val="005A3870"/>
    <w:rsid w:val="005A3D3E"/>
    <w:rsid w:val="005A4EE9"/>
    <w:rsid w:val="005A4FA3"/>
    <w:rsid w:val="005A5075"/>
    <w:rsid w:val="005A55DB"/>
    <w:rsid w:val="005A5F29"/>
    <w:rsid w:val="005A643B"/>
    <w:rsid w:val="005A6970"/>
    <w:rsid w:val="005A6CB8"/>
    <w:rsid w:val="005B057A"/>
    <w:rsid w:val="005B0C52"/>
    <w:rsid w:val="005B1FF0"/>
    <w:rsid w:val="005B2179"/>
    <w:rsid w:val="005B22C7"/>
    <w:rsid w:val="005B2481"/>
    <w:rsid w:val="005B2E48"/>
    <w:rsid w:val="005B3E5E"/>
    <w:rsid w:val="005B481D"/>
    <w:rsid w:val="005B4886"/>
    <w:rsid w:val="005B4F89"/>
    <w:rsid w:val="005B4FB7"/>
    <w:rsid w:val="005B655E"/>
    <w:rsid w:val="005B69CD"/>
    <w:rsid w:val="005B6D16"/>
    <w:rsid w:val="005B6D31"/>
    <w:rsid w:val="005B7906"/>
    <w:rsid w:val="005B7F8C"/>
    <w:rsid w:val="005C14B2"/>
    <w:rsid w:val="005C1A9E"/>
    <w:rsid w:val="005C1C85"/>
    <w:rsid w:val="005C24A6"/>
    <w:rsid w:val="005C2789"/>
    <w:rsid w:val="005C2A71"/>
    <w:rsid w:val="005C40D9"/>
    <w:rsid w:val="005C4C8D"/>
    <w:rsid w:val="005C4D6B"/>
    <w:rsid w:val="005C5376"/>
    <w:rsid w:val="005C5876"/>
    <w:rsid w:val="005C590C"/>
    <w:rsid w:val="005C5A76"/>
    <w:rsid w:val="005C69B6"/>
    <w:rsid w:val="005C6D29"/>
    <w:rsid w:val="005C6DF2"/>
    <w:rsid w:val="005C7468"/>
    <w:rsid w:val="005C77AC"/>
    <w:rsid w:val="005D02F3"/>
    <w:rsid w:val="005D0C8B"/>
    <w:rsid w:val="005D0E5B"/>
    <w:rsid w:val="005D0F0B"/>
    <w:rsid w:val="005D1225"/>
    <w:rsid w:val="005D1D77"/>
    <w:rsid w:val="005D263D"/>
    <w:rsid w:val="005D270A"/>
    <w:rsid w:val="005D2CEA"/>
    <w:rsid w:val="005D2E21"/>
    <w:rsid w:val="005D384C"/>
    <w:rsid w:val="005D4C72"/>
    <w:rsid w:val="005D50EA"/>
    <w:rsid w:val="005D52E5"/>
    <w:rsid w:val="005D588A"/>
    <w:rsid w:val="005D6650"/>
    <w:rsid w:val="005D6FDB"/>
    <w:rsid w:val="005D7ADE"/>
    <w:rsid w:val="005D7E1B"/>
    <w:rsid w:val="005E043A"/>
    <w:rsid w:val="005E1FB2"/>
    <w:rsid w:val="005E202C"/>
    <w:rsid w:val="005E25EC"/>
    <w:rsid w:val="005E271D"/>
    <w:rsid w:val="005E27B1"/>
    <w:rsid w:val="005E284C"/>
    <w:rsid w:val="005E2A1B"/>
    <w:rsid w:val="005E3222"/>
    <w:rsid w:val="005E35C6"/>
    <w:rsid w:val="005E3A03"/>
    <w:rsid w:val="005E3E3A"/>
    <w:rsid w:val="005E471D"/>
    <w:rsid w:val="005E4C56"/>
    <w:rsid w:val="005E546A"/>
    <w:rsid w:val="005E55AE"/>
    <w:rsid w:val="005E5EEB"/>
    <w:rsid w:val="005E6A9E"/>
    <w:rsid w:val="005E6CB5"/>
    <w:rsid w:val="005E703D"/>
    <w:rsid w:val="005F07A2"/>
    <w:rsid w:val="005F07B1"/>
    <w:rsid w:val="005F0A95"/>
    <w:rsid w:val="005F0CB6"/>
    <w:rsid w:val="005F0F7D"/>
    <w:rsid w:val="005F15C2"/>
    <w:rsid w:val="005F17F2"/>
    <w:rsid w:val="005F28BC"/>
    <w:rsid w:val="005F29A8"/>
    <w:rsid w:val="005F2F87"/>
    <w:rsid w:val="005F3BCD"/>
    <w:rsid w:val="005F3E8A"/>
    <w:rsid w:val="005F4019"/>
    <w:rsid w:val="005F469D"/>
    <w:rsid w:val="005F4911"/>
    <w:rsid w:val="005F4B09"/>
    <w:rsid w:val="005F50C3"/>
    <w:rsid w:val="005F58B7"/>
    <w:rsid w:val="005F686F"/>
    <w:rsid w:val="005F6F0C"/>
    <w:rsid w:val="005F74B0"/>
    <w:rsid w:val="006001B1"/>
    <w:rsid w:val="006009F4"/>
    <w:rsid w:val="00600D6C"/>
    <w:rsid w:val="00600DF7"/>
    <w:rsid w:val="006010C4"/>
    <w:rsid w:val="0060130C"/>
    <w:rsid w:val="00601728"/>
    <w:rsid w:val="00602697"/>
    <w:rsid w:val="00603357"/>
    <w:rsid w:val="0060350D"/>
    <w:rsid w:val="00603544"/>
    <w:rsid w:val="00603CF9"/>
    <w:rsid w:val="00603E0E"/>
    <w:rsid w:val="006044E3"/>
    <w:rsid w:val="00604D8A"/>
    <w:rsid w:val="00605061"/>
    <w:rsid w:val="0060621D"/>
    <w:rsid w:val="00606D84"/>
    <w:rsid w:val="00606F87"/>
    <w:rsid w:val="00607746"/>
    <w:rsid w:val="00607953"/>
    <w:rsid w:val="00607F89"/>
    <w:rsid w:val="006107DB"/>
    <w:rsid w:val="00610FA5"/>
    <w:rsid w:val="006113E9"/>
    <w:rsid w:val="006114E3"/>
    <w:rsid w:val="00611588"/>
    <w:rsid w:val="006119F6"/>
    <w:rsid w:val="00611C92"/>
    <w:rsid w:val="00611D35"/>
    <w:rsid w:val="00612566"/>
    <w:rsid w:val="00612985"/>
    <w:rsid w:val="00613262"/>
    <w:rsid w:val="006133AA"/>
    <w:rsid w:val="006135B5"/>
    <w:rsid w:val="006136A7"/>
    <w:rsid w:val="00613BBC"/>
    <w:rsid w:val="00613E12"/>
    <w:rsid w:val="00614123"/>
    <w:rsid w:val="00614197"/>
    <w:rsid w:val="006143BA"/>
    <w:rsid w:val="006144E2"/>
    <w:rsid w:val="00614B07"/>
    <w:rsid w:val="00614C63"/>
    <w:rsid w:val="006156AB"/>
    <w:rsid w:val="00617B0A"/>
    <w:rsid w:val="00617CA9"/>
    <w:rsid w:val="00620406"/>
    <w:rsid w:val="00620A93"/>
    <w:rsid w:val="006230FB"/>
    <w:rsid w:val="00623138"/>
    <w:rsid w:val="00623590"/>
    <w:rsid w:val="00624248"/>
    <w:rsid w:val="006247D7"/>
    <w:rsid w:val="00624802"/>
    <w:rsid w:val="00624865"/>
    <w:rsid w:val="00625449"/>
    <w:rsid w:val="0062568B"/>
    <w:rsid w:val="00625EB0"/>
    <w:rsid w:val="0062740F"/>
    <w:rsid w:val="00627529"/>
    <w:rsid w:val="006300CC"/>
    <w:rsid w:val="006301C1"/>
    <w:rsid w:val="00630579"/>
    <w:rsid w:val="00631982"/>
    <w:rsid w:val="00631F5B"/>
    <w:rsid w:val="006320D0"/>
    <w:rsid w:val="006321E7"/>
    <w:rsid w:val="00632314"/>
    <w:rsid w:val="006323AE"/>
    <w:rsid w:val="006323C4"/>
    <w:rsid w:val="00632425"/>
    <w:rsid w:val="006328BC"/>
    <w:rsid w:val="00632B07"/>
    <w:rsid w:val="00632E03"/>
    <w:rsid w:val="00632EC4"/>
    <w:rsid w:val="00632FCE"/>
    <w:rsid w:val="00633C90"/>
    <w:rsid w:val="00634191"/>
    <w:rsid w:val="006341BE"/>
    <w:rsid w:val="00634400"/>
    <w:rsid w:val="0063531D"/>
    <w:rsid w:val="00635902"/>
    <w:rsid w:val="00635BE8"/>
    <w:rsid w:val="00635D92"/>
    <w:rsid w:val="006363C2"/>
    <w:rsid w:val="00636652"/>
    <w:rsid w:val="00637054"/>
    <w:rsid w:val="00637E22"/>
    <w:rsid w:val="006400B8"/>
    <w:rsid w:val="0064078C"/>
    <w:rsid w:val="00640DFD"/>
    <w:rsid w:val="006412B5"/>
    <w:rsid w:val="006414BA"/>
    <w:rsid w:val="006417A1"/>
    <w:rsid w:val="006420F7"/>
    <w:rsid w:val="006426D5"/>
    <w:rsid w:val="00642796"/>
    <w:rsid w:val="006430EB"/>
    <w:rsid w:val="006431BD"/>
    <w:rsid w:val="0064378B"/>
    <w:rsid w:val="006438C4"/>
    <w:rsid w:val="00643CB2"/>
    <w:rsid w:val="00644993"/>
    <w:rsid w:val="00644D7B"/>
    <w:rsid w:val="006456A1"/>
    <w:rsid w:val="006458DF"/>
    <w:rsid w:val="00647616"/>
    <w:rsid w:val="00647630"/>
    <w:rsid w:val="006502A5"/>
    <w:rsid w:val="006503D2"/>
    <w:rsid w:val="006505E6"/>
    <w:rsid w:val="00652890"/>
    <w:rsid w:val="00653452"/>
    <w:rsid w:val="006539C8"/>
    <w:rsid w:val="00655A1F"/>
    <w:rsid w:val="006562A9"/>
    <w:rsid w:val="0065645A"/>
    <w:rsid w:val="00656C0E"/>
    <w:rsid w:val="0065748F"/>
    <w:rsid w:val="00660AC3"/>
    <w:rsid w:val="00661721"/>
    <w:rsid w:val="00662161"/>
    <w:rsid w:val="006635F5"/>
    <w:rsid w:val="00663F2F"/>
    <w:rsid w:val="00663FCB"/>
    <w:rsid w:val="0066453A"/>
    <w:rsid w:val="006645A3"/>
    <w:rsid w:val="00664F10"/>
    <w:rsid w:val="00664F67"/>
    <w:rsid w:val="006656B6"/>
    <w:rsid w:val="006660FE"/>
    <w:rsid w:val="006676C8"/>
    <w:rsid w:val="00670504"/>
    <w:rsid w:val="00671987"/>
    <w:rsid w:val="00671FEE"/>
    <w:rsid w:val="006727C0"/>
    <w:rsid w:val="0067289E"/>
    <w:rsid w:val="00672C3F"/>
    <w:rsid w:val="006734D6"/>
    <w:rsid w:val="00673615"/>
    <w:rsid w:val="00673AA2"/>
    <w:rsid w:val="00673F30"/>
    <w:rsid w:val="00674BEC"/>
    <w:rsid w:val="0067598C"/>
    <w:rsid w:val="00676024"/>
    <w:rsid w:val="00676B33"/>
    <w:rsid w:val="00677210"/>
    <w:rsid w:val="00677C2A"/>
    <w:rsid w:val="006802ED"/>
    <w:rsid w:val="00680CB4"/>
    <w:rsid w:val="006817CE"/>
    <w:rsid w:val="006819AF"/>
    <w:rsid w:val="00681EAC"/>
    <w:rsid w:val="006823FD"/>
    <w:rsid w:val="00682BB8"/>
    <w:rsid w:val="00682F50"/>
    <w:rsid w:val="0068338B"/>
    <w:rsid w:val="00683A94"/>
    <w:rsid w:val="0068487F"/>
    <w:rsid w:val="006848FA"/>
    <w:rsid w:val="006854D8"/>
    <w:rsid w:val="006855DE"/>
    <w:rsid w:val="00685606"/>
    <w:rsid w:val="0068571C"/>
    <w:rsid w:val="00687B5C"/>
    <w:rsid w:val="00690825"/>
    <w:rsid w:val="00690A23"/>
    <w:rsid w:val="00690F33"/>
    <w:rsid w:val="00691ADE"/>
    <w:rsid w:val="00692BD1"/>
    <w:rsid w:val="00692EDF"/>
    <w:rsid w:val="006934E4"/>
    <w:rsid w:val="00694330"/>
    <w:rsid w:val="006943F6"/>
    <w:rsid w:val="00694B78"/>
    <w:rsid w:val="006954B1"/>
    <w:rsid w:val="006954DD"/>
    <w:rsid w:val="00695832"/>
    <w:rsid w:val="00696096"/>
    <w:rsid w:val="00696497"/>
    <w:rsid w:val="00696D31"/>
    <w:rsid w:val="006979C6"/>
    <w:rsid w:val="00697E92"/>
    <w:rsid w:val="006A192E"/>
    <w:rsid w:val="006A1BFC"/>
    <w:rsid w:val="006A1CE5"/>
    <w:rsid w:val="006A2104"/>
    <w:rsid w:val="006A2372"/>
    <w:rsid w:val="006A23A4"/>
    <w:rsid w:val="006A2475"/>
    <w:rsid w:val="006A2CD9"/>
    <w:rsid w:val="006A40D5"/>
    <w:rsid w:val="006A437F"/>
    <w:rsid w:val="006A4612"/>
    <w:rsid w:val="006A4631"/>
    <w:rsid w:val="006A4E3C"/>
    <w:rsid w:val="006A59F5"/>
    <w:rsid w:val="006A5C3E"/>
    <w:rsid w:val="006A6E50"/>
    <w:rsid w:val="006A6E58"/>
    <w:rsid w:val="006A7167"/>
    <w:rsid w:val="006A78AF"/>
    <w:rsid w:val="006A7954"/>
    <w:rsid w:val="006A7A0A"/>
    <w:rsid w:val="006B0497"/>
    <w:rsid w:val="006B0985"/>
    <w:rsid w:val="006B0B14"/>
    <w:rsid w:val="006B1534"/>
    <w:rsid w:val="006B2183"/>
    <w:rsid w:val="006B24AF"/>
    <w:rsid w:val="006B2528"/>
    <w:rsid w:val="006B3469"/>
    <w:rsid w:val="006B382F"/>
    <w:rsid w:val="006B49BD"/>
    <w:rsid w:val="006B510D"/>
    <w:rsid w:val="006B57A7"/>
    <w:rsid w:val="006B5977"/>
    <w:rsid w:val="006B598F"/>
    <w:rsid w:val="006B5A6F"/>
    <w:rsid w:val="006B616B"/>
    <w:rsid w:val="006B702B"/>
    <w:rsid w:val="006B7FC3"/>
    <w:rsid w:val="006C14D2"/>
    <w:rsid w:val="006C205B"/>
    <w:rsid w:val="006C2E8D"/>
    <w:rsid w:val="006C37F6"/>
    <w:rsid w:val="006C3DC5"/>
    <w:rsid w:val="006C4128"/>
    <w:rsid w:val="006C47AC"/>
    <w:rsid w:val="006C4D08"/>
    <w:rsid w:val="006C4E3C"/>
    <w:rsid w:val="006C4FB2"/>
    <w:rsid w:val="006C5AA5"/>
    <w:rsid w:val="006C60C6"/>
    <w:rsid w:val="006C6975"/>
    <w:rsid w:val="006C6B09"/>
    <w:rsid w:val="006C7129"/>
    <w:rsid w:val="006C71F5"/>
    <w:rsid w:val="006C7A30"/>
    <w:rsid w:val="006D085C"/>
    <w:rsid w:val="006D0BB9"/>
    <w:rsid w:val="006D1B1C"/>
    <w:rsid w:val="006D2D8C"/>
    <w:rsid w:val="006D2F75"/>
    <w:rsid w:val="006D320E"/>
    <w:rsid w:val="006D438F"/>
    <w:rsid w:val="006D4900"/>
    <w:rsid w:val="006D4F5B"/>
    <w:rsid w:val="006D5E01"/>
    <w:rsid w:val="006D6448"/>
    <w:rsid w:val="006D6532"/>
    <w:rsid w:val="006D655B"/>
    <w:rsid w:val="006D6FCE"/>
    <w:rsid w:val="006D75C8"/>
    <w:rsid w:val="006D7C3F"/>
    <w:rsid w:val="006E003D"/>
    <w:rsid w:val="006E0854"/>
    <w:rsid w:val="006E0BE4"/>
    <w:rsid w:val="006E0DFF"/>
    <w:rsid w:val="006E0F50"/>
    <w:rsid w:val="006E162A"/>
    <w:rsid w:val="006E2049"/>
    <w:rsid w:val="006E2465"/>
    <w:rsid w:val="006E2D09"/>
    <w:rsid w:val="006E2DEB"/>
    <w:rsid w:val="006E3065"/>
    <w:rsid w:val="006E322B"/>
    <w:rsid w:val="006E3426"/>
    <w:rsid w:val="006E4033"/>
    <w:rsid w:val="006E42EC"/>
    <w:rsid w:val="006E48F8"/>
    <w:rsid w:val="006E574E"/>
    <w:rsid w:val="006E5CDB"/>
    <w:rsid w:val="006E5D74"/>
    <w:rsid w:val="006E6A36"/>
    <w:rsid w:val="006E70B6"/>
    <w:rsid w:val="006E7CAE"/>
    <w:rsid w:val="006E7D57"/>
    <w:rsid w:val="006F00C6"/>
    <w:rsid w:val="006F04F6"/>
    <w:rsid w:val="006F0CA6"/>
    <w:rsid w:val="006F17C7"/>
    <w:rsid w:val="006F17F3"/>
    <w:rsid w:val="006F1E70"/>
    <w:rsid w:val="006F25C6"/>
    <w:rsid w:val="006F3935"/>
    <w:rsid w:val="006F3C32"/>
    <w:rsid w:val="006F3D7A"/>
    <w:rsid w:val="006F3E0E"/>
    <w:rsid w:val="006F4CE1"/>
    <w:rsid w:val="006F5C3F"/>
    <w:rsid w:val="006F62E5"/>
    <w:rsid w:val="006F6513"/>
    <w:rsid w:val="006F689B"/>
    <w:rsid w:val="007002B8"/>
    <w:rsid w:val="00700C61"/>
    <w:rsid w:val="00701748"/>
    <w:rsid w:val="00701768"/>
    <w:rsid w:val="007026EC"/>
    <w:rsid w:val="00702B22"/>
    <w:rsid w:val="00704246"/>
    <w:rsid w:val="0070545B"/>
    <w:rsid w:val="0070554A"/>
    <w:rsid w:val="007059C7"/>
    <w:rsid w:val="00706675"/>
    <w:rsid w:val="00706A07"/>
    <w:rsid w:val="00710539"/>
    <w:rsid w:val="007105E9"/>
    <w:rsid w:val="007106D6"/>
    <w:rsid w:val="00712060"/>
    <w:rsid w:val="007125F5"/>
    <w:rsid w:val="0071340E"/>
    <w:rsid w:val="007142B8"/>
    <w:rsid w:val="00714704"/>
    <w:rsid w:val="00714ABC"/>
    <w:rsid w:val="007150D8"/>
    <w:rsid w:val="0071521A"/>
    <w:rsid w:val="00715DFA"/>
    <w:rsid w:val="0071646E"/>
    <w:rsid w:val="00716E25"/>
    <w:rsid w:val="00717DB5"/>
    <w:rsid w:val="007206DA"/>
    <w:rsid w:val="00721575"/>
    <w:rsid w:val="00722220"/>
    <w:rsid w:val="0072274A"/>
    <w:rsid w:val="00722C28"/>
    <w:rsid w:val="00722E9E"/>
    <w:rsid w:val="00723050"/>
    <w:rsid w:val="00723328"/>
    <w:rsid w:val="007235FE"/>
    <w:rsid w:val="007237FB"/>
    <w:rsid w:val="00723D9D"/>
    <w:rsid w:val="00724428"/>
    <w:rsid w:val="00724855"/>
    <w:rsid w:val="00724F4E"/>
    <w:rsid w:val="007251D9"/>
    <w:rsid w:val="00726451"/>
    <w:rsid w:val="00726D00"/>
    <w:rsid w:val="00727696"/>
    <w:rsid w:val="00727EB7"/>
    <w:rsid w:val="00730AD2"/>
    <w:rsid w:val="00731439"/>
    <w:rsid w:val="00732911"/>
    <w:rsid w:val="00732AFD"/>
    <w:rsid w:val="00732FEC"/>
    <w:rsid w:val="00733364"/>
    <w:rsid w:val="007333BA"/>
    <w:rsid w:val="0073428A"/>
    <w:rsid w:val="007343B6"/>
    <w:rsid w:val="007343EF"/>
    <w:rsid w:val="00734FE7"/>
    <w:rsid w:val="00735502"/>
    <w:rsid w:val="00736600"/>
    <w:rsid w:val="00737F7F"/>
    <w:rsid w:val="007404D9"/>
    <w:rsid w:val="007405D3"/>
    <w:rsid w:val="007419C8"/>
    <w:rsid w:val="0074280E"/>
    <w:rsid w:val="00742925"/>
    <w:rsid w:val="00743242"/>
    <w:rsid w:val="00743695"/>
    <w:rsid w:val="007438B5"/>
    <w:rsid w:val="00744073"/>
    <w:rsid w:val="0074471E"/>
    <w:rsid w:val="0074489F"/>
    <w:rsid w:val="007454FD"/>
    <w:rsid w:val="00745C01"/>
    <w:rsid w:val="00745D38"/>
    <w:rsid w:val="00745F77"/>
    <w:rsid w:val="007462D8"/>
    <w:rsid w:val="00746995"/>
    <w:rsid w:val="007479E2"/>
    <w:rsid w:val="00747E5F"/>
    <w:rsid w:val="00750475"/>
    <w:rsid w:val="0075073F"/>
    <w:rsid w:val="00751879"/>
    <w:rsid w:val="00752242"/>
    <w:rsid w:val="007538C6"/>
    <w:rsid w:val="007539E0"/>
    <w:rsid w:val="0075427F"/>
    <w:rsid w:val="007546EA"/>
    <w:rsid w:val="0075485B"/>
    <w:rsid w:val="00754D40"/>
    <w:rsid w:val="00754E9E"/>
    <w:rsid w:val="00755649"/>
    <w:rsid w:val="00755E7B"/>
    <w:rsid w:val="00756519"/>
    <w:rsid w:val="00756B5C"/>
    <w:rsid w:val="00756F58"/>
    <w:rsid w:val="007570E1"/>
    <w:rsid w:val="00757227"/>
    <w:rsid w:val="007572F7"/>
    <w:rsid w:val="007600A5"/>
    <w:rsid w:val="00760141"/>
    <w:rsid w:val="0076027B"/>
    <w:rsid w:val="00760C03"/>
    <w:rsid w:val="0076139C"/>
    <w:rsid w:val="00761709"/>
    <w:rsid w:val="00762519"/>
    <w:rsid w:val="00762BD9"/>
    <w:rsid w:val="007638D7"/>
    <w:rsid w:val="00763939"/>
    <w:rsid w:val="00765291"/>
    <w:rsid w:val="00765514"/>
    <w:rsid w:val="00765598"/>
    <w:rsid w:val="00765A80"/>
    <w:rsid w:val="00766102"/>
    <w:rsid w:val="007662AA"/>
    <w:rsid w:val="0076789A"/>
    <w:rsid w:val="007707FD"/>
    <w:rsid w:val="00770C03"/>
    <w:rsid w:val="007718D8"/>
    <w:rsid w:val="00772836"/>
    <w:rsid w:val="0077287A"/>
    <w:rsid w:val="00772B63"/>
    <w:rsid w:val="007730E5"/>
    <w:rsid w:val="007733E9"/>
    <w:rsid w:val="00773971"/>
    <w:rsid w:val="0077416C"/>
    <w:rsid w:val="00774190"/>
    <w:rsid w:val="0077447D"/>
    <w:rsid w:val="00774A48"/>
    <w:rsid w:val="00774F7F"/>
    <w:rsid w:val="00774F95"/>
    <w:rsid w:val="007762BF"/>
    <w:rsid w:val="007766B3"/>
    <w:rsid w:val="00776E91"/>
    <w:rsid w:val="00776E9E"/>
    <w:rsid w:val="0077711B"/>
    <w:rsid w:val="007773ED"/>
    <w:rsid w:val="007779E0"/>
    <w:rsid w:val="00777DED"/>
    <w:rsid w:val="00780498"/>
    <w:rsid w:val="00780D15"/>
    <w:rsid w:val="00780DF8"/>
    <w:rsid w:val="00781158"/>
    <w:rsid w:val="007811A2"/>
    <w:rsid w:val="0078206A"/>
    <w:rsid w:val="007823FD"/>
    <w:rsid w:val="007831D7"/>
    <w:rsid w:val="0078330B"/>
    <w:rsid w:val="007834C0"/>
    <w:rsid w:val="00783AB5"/>
    <w:rsid w:val="00783D41"/>
    <w:rsid w:val="00784814"/>
    <w:rsid w:val="00784937"/>
    <w:rsid w:val="0078564A"/>
    <w:rsid w:val="00785C9B"/>
    <w:rsid w:val="0078648F"/>
    <w:rsid w:val="0078783C"/>
    <w:rsid w:val="00787D4B"/>
    <w:rsid w:val="00790FD0"/>
    <w:rsid w:val="00791028"/>
    <w:rsid w:val="00792DE9"/>
    <w:rsid w:val="00793E11"/>
    <w:rsid w:val="007941EA"/>
    <w:rsid w:val="00794341"/>
    <w:rsid w:val="00794F22"/>
    <w:rsid w:val="00794F48"/>
    <w:rsid w:val="00795781"/>
    <w:rsid w:val="007975AB"/>
    <w:rsid w:val="007977D4"/>
    <w:rsid w:val="007A03C7"/>
    <w:rsid w:val="007A09ED"/>
    <w:rsid w:val="007A0E54"/>
    <w:rsid w:val="007A1D0B"/>
    <w:rsid w:val="007A2053"/>
    <w:rsid w:val="007A238D"/>
    <w:rsid w:val="007A2A8B"/>
    <w:rsid w:val="007A2C97"/>
    <w:rsid w:val="007A316F"/>
    <w:rsid w:val="007A3868"/>
    <w:rsid w:val="007A3FA0"/>
    <w:rsid w:val="007A44AA"/>
    <w:rsid w:val="007A4728"/>
    <w:rsid w:val="007A4A93"/>
    <w:rsid w:val="007A4AA3"/>
    <w:rsid w:val="007A4B51"/>
    <w:rsid w:val="007A51C0"/>
    <w:rsid w:val="007A5722"/>
    <w:rsid w:val="007A5EB2"/>
    <w:rsid w:val="007A60CC"/>
    <w:rsid w:val="007A70ED"/>
    <w:rsid w:val="007A7128"/>
    <w:rsid w:val="007A78B5"/>
    <w:rsid w:val="007B13E4"/>
    <w:rsid w:val="007B154E"/>
    <w:rsid w:val="007B2F48"/>
    <w:rsid w:val="007B2F4D"/>
    <w:rsid w:val="007B3D73"/>
    <w:rsid w:val="007B3E6D"/>
    <w:rsid w:val="007B4914"/>
    <w:rsid w:val="007B5BD7"/>
    <w:rsid w:val="007B5D95"/>
    <w:rsid w:val="007B6D30"/>
    <w:rsid w:val="007C01D7"/>
    <w:rsid w:val="007C02EF"/>
    <w:rsid w:val="007C0AC4"/>
    <w:rsid w:val="007C2153"/>
    <w:rsid w:val="007C2848"/>
    <w:rsid w:val="007C3C07"/>
    <w:rsid w:val="007C3E70"/>
    <w:rsid w:val="007C3E99"/>
    <w:rsid w:val="007C429C"/>
    <w:rsid w:val="007C466B"/>
    <w:rsid w:val="007C467D"/>
    <w:rsid w:val="007C5072"/>
    <w:rsid w:val="007C50E1"/>
    <w:rsid w:val="007C54C7"/>
    <w:rsid w:val="007C56BA"/>
    <w:rsid w:val="007C5CC4"/>
    <w:rsid w:val="007C5E09"/>
    <w:rsid w:val="007C6646"/>
    <w:rsid w:val="007C7431"/>
    <w:rsid w:val="007D2992"/>
    <w:rsid w:val="007D3C35"/>
    <w:rsid w:val="007D3CC5"/>
    <w:rsid w:val="007D3E23"/>
    <w:rsid w:val="007D4F38"/>
    <w:rsid w:val="007D56F2"/>
    <w:rsid w:val="007D5F1B"/>
    <w:rsid w:val="007D6205"/>
    <w:rsid w:val="007D76FF"/>
    <w:rsid w:val="007D78C1"/>
    <w:rsid w:val="007E0170"/>
    <w:rsid w:val="007E0924"/>
    <w:rsid w:val="007E09E4"/>
    <w:rsid w:val="007E0F1F"/>
    <w:rsid w:val="007E14F1"/>
    <w:rsid w:val="007E20CF"/>
    <w:rsid w:val="007E264F"/>
    <w:rsid w:val="007E301B"/>
    <w:rsid w:val="007E337F"/>
    <w:rsid w:val="007E430C"/>
    <w:rsid w:val="007E48EA"/>
    <w:rsid w:val="007E6A43"/>
    <w:rsid w:val="007E6DED"/>
    <w:rsid w:val="007E7305"/>
    <w:rsid w:val="007F11A7"/>
    <w:rsid w:val="007F198B"/>
    <w:rsid w:val="007F1FBC"/>
    <w:rsid w:val="007F3931"/>
    <w:rsid w:val="007F3EBD"/>
    <w:rsid w:val="007F481D"/>
    <w:rsid w:val="007F4B24"/>
    <w:rsid w:val="007F53B3"/>
    <w:rsid w:val="007F5885"/>
    <w:rsid w:val="007F5C38"/>
    <w:rsid w:val="007F61DF"/>
    <w:rsid w:val="007F61F3"/>
    <w:rsid w:val="007F6CA8"/>
    <w:rsid w:val="007F6D6D"/>
    <w:rsid w:val="007F6FD2"/>
    <w:rsid w:val="008009EB"/>
    <w:rsid w:val="00800E5C"/>
    <w:rsid w:val="008014C9"/>
    <w:rsid w:val="00801932"/>
    <w:rsid w:val="00801E8B"/>
    <w:rsid w:val="008025DF"/>
    <w:rsid w:val="008025F9"/>
    <w:rsid w:val="008026E9"/>
    <w:rsid w:val="00802A21"/>
    <w:rsid w:val="0080302F"/>
    <w:rsid w:val="00803774"/>
    <w:rsid w:val="00803916"/>
    <w:rsid w:val="00803929"/>
    <w:rsid w:val="0080396B"/>
    <w:rsid w:val="00803F4E"/>
    <w:rsid w:val="00803F82"/>
    <w:rsid w:val="00804115"/>
    <w:rsid w:val="00805A76"/>
    <w:rsid w:val="00806187"/>
    <w:rsid w:val="008070E9"/>
    <w:rsid w:val="00811B95"/>
    <w:rsid w:val="008127ED"/>
    <w:rsid w:val="0081330D"/>
    <w:rsid w:val="008144EE"/>
    <w:rsid w:val="00814639"/>
    <w:rsid w:val="00814FEC"/>
    <w:rsid w:val="0081603D"/>
    <w:rsid w:val="00816477"/>
    <w:rsid w:val="0081664C"/>
    <w:rsid w:val="008173A6"/>
    <w:rsid w:val="008175FA"/>
    <w:rsid w:val="00820341"/>
    <w:rsid w:val="00820809"/>
    <w:rsid w:val="00820BC7"/>
    <w:rsid w:val="008210B5"/>
    <w:rsid w:val="00821302"/>
    <w:rsid w:val="0082135B"/>
    <w:rsid w:val="0082162D"/>
    <w:rsid w:val="00821A4D"/>
    <w:rsid w:val="00821C11"/>
    <w:rsid w:val="008223B9"/>
    <w:rsid w:val="008223CE"/>
    <w:rsid w:val="00822425"/>
    <w:rsid w:val="00822850"/>
    <w:rsid w:val="00822F91"/>
    <w:rsid w:val="008234DC"/>
    <w:rsid w:val="0082447E"/>
    <w:rsid w:val="00824B41"/>
    <w:rsid w:val="00824D85"/>
    <w:rsid w:val="00825080"/>
    <w:rsid w:val="0082569D"/>
    <w:rsid w:val="00825713"/>
    <w:rsid w:val="00826431"/>
    <w:rsid w:val="00826B2C"/>
    <w:rsid w:val="00827CCC"/>
    <w:rsid w:val="008301D1"/>
    <w:rsid w:val="00831911"/>
    <w:rsid w:val="00832820"/>
    <w:rsid w:val="00833F03"/>
    <w:rsid w:val="00834616"/>
    <w:rsid w:val="0083468E"/>
    <w:rsid w:val="008347CA"/>
    <w:rsid w:val="00834EAB"/>
    <w:rsid w:val="0083513A"/>
    <w:rsid w:val="00835158"/>
    <w:rsid w:val="008351D1"/>
    <w:rsid w:val="00835E7E"/>
    <w:rsid w:val="008361F1"/>
    <w:rsid w:val="0083644C"/>
    <w:rsid w:val="00836893"/>
    <w:rsid w:val="00836918"/>
    <w:rsid w:val="008372F6"/>
    <w:rsid w:val="00837934"/>
    <w:rsid w:val="008379C7"/>
    <w:rsid w:val="0084115E"/>
    <w:rsid w:val="00841B2D"/>
    <w:rsid w:val="008421C2"/>
    <w:rsid w:val="0084262E"/>
    <w:rsid w:val="00843089"/>
    <w:rsid w:val="00844697"/>
    <w:rsid w:val="00844971"/>
    <w:rsid w:val="0084498F"/>
    <w:rsid w:val="00844BAB"/>
    <w:rsid w:val="00844CE9"/>
    <w:rsid w:val="0084560A"/>
    <w:rsid w:val="00845B79"/>
    <w:rsid w:val="00845C01"/>
    <w:rsid w:val="00845F56"/>
    <w:rsid w:val="00846B65"/>
    <w:rsid w:val="00846CAE"/>
    <w:rsid w:val="00847EE2"/>
    <w:rsid w:val="00850CD9"/>
    <w:rsid w:val="00851532"/>
    <w:rsid w:val="008516FC"/>
    <w:rsid w:val="008519F1"/>
    <w:rsid w:val="00851E21"/>
    <w:rsid w:val="00851E65"/>
    <w:rsid w:val="008521FF"/>
    <w:rsid w:val="008531CE"/>
    <w:rsid w:val="008531DB"/>
    <w:rsid w:val="008539A5"/>
    <w:rsid w:val="00854395"/>
    <w:rsid w:val="008549A6"/>
    <w:rsid w:val="0085520F"/>
    <w:rsid w:val="00855249"/>
    <w:rsid w:val="00855786"/>
    <w:rsid w:val="0085588E"/>
    <w:rsid w:val="00855BF8"/>
    <w:rsid w:val="00855C01"/>
    <w:rsid w:val="00855E4C"/>
    <w:rsid w:val="00855E67"/>
    <w:rsid w:val="00855EF7"/>
    <w:rsid w:val="0085640A"/>
    <w:rsid w:val="00856479"/>
    <w:rsid w:val="008566B9"/>
    <w:rsid w:val="00856D1D"/>
    <w:rsid w:val="00857569"/>
    <w:rsid w:val="00857B9F"/>
    <w:rsid w:val="00857EF9"/>
    <w:rsid w:val="008601E5"/>
    <w:rsid w:val="008605E0"/>
    <w:rsid w:val="008610B8"/>
    <w:rsid w:val="008613C4"/>
    <w:rsid w:val="00861AA4"/>
    <w:rsid w:val="00861FD8"/>
    <w:rsid w:val="00861FF9"/>
    <w:rsid w:val="008621C5"/>
    <w:rsid w:val="0086283B"/>
    <w:rsid w:val="008641B2"/>
    <w:rsid w:val="00864202"/>
    <w:rsid w:val="00864781"/>
    <w:rsid w:val="00864B29"/>
    <w:rsid w:val="00865166"/>
    <w:rsid w:val="008667BE"/>
    <w:rsid w:val="00866B1C"/>
    <w:rsid w:val="00866C9D"/>
    <w:rsid w:val="008703A7"/>
    <w:rsid w:val="00870824"/>
    <w:rsid w:val="00870828"/>
    <w:rsid w:val="00871368"/>
    <w:rsid w:val="008714C0"/>
    <w:rsid w:val="008719CD"/>
    <w:rsid w:val="00871FDF"/>
    <w:rsid w:val="00872A0A"/>
    <w:rsid w:val="00873158"/>
    <w:rsid w:val="0087375B"/>
    <w:rsid w:val="00873A44"/>
    <w:rsid w:val="008743A9"/>
    <w:rsid w:val="00874E6C"/>
    <w:rsid w:val="008756C7"/>
    <w:rsid w:val="008762CD"/>
    <w:rsid w:val="00876304"/>
    <w:rsid w:val="008763B7"/>
    <w:rsid w:val="0087640A"/>
    <w:rsid w:val="00877329"/>
    <w:rsid w:val="00880D1B"/>
    <w:rsid w:val="00881403"/>
    <w:rsid w:val="0088147F"/>
    <w:rsid w:val="00882BC3"/>
    <w:rsid w:val="00882EB5"/>
    <w:rsid w:val="0088395E"/>
    <w:rsid w:val="0088404E"/>
    <w:rsid w:val="00884934"/>
    <w:rsid w:val="0088498B"/>
    <w:rsid w:val="008853A2"/>
    <w:rsid w:val="00885594"/>
    <w:rsid w:val="008859BC"/>
    <w:rsid w:val="008859CF"/>
    <w:rsid w:val="00885A8A"/>
    <w:rsid w:val="00886862"/>
    <w:rsid w:val="00886D94"/>
    <w:rsid w:val="008911FB"/>
    <w:rsid w:val="008913C0"/>
    <w:rsid w:val="00892796"/>
    <w:rsid w:val="00892C14"/>
    <w:rsid w:val="00893DDB"/>
    <w:rsid w:val="00894559"/>
    <w:rsid w:val="00894B20"/>
    <w:rsid w:val="00894BB8"/>
    <w:rsid w:val="008A0151"/>
    <w:rsid w:val="008A03B1"/>
    <w:rsid w:val="008A056C"/>
    <w:rsid w:val="008A090D"/>
    <w:rsid w:val="008A1E19"/>
    <w:rsid w:val="008A31A3"/>
    <w:rsid w:val="008A386A"/>
    <w:rsid w:val="008A3E26"/>
    <w:rsid w:val="008A4147"/>
    <w:rsid w:val="008A4657"/>
    <w:rsid w:val="008A4CAE"/>
    <w:rsid w:val="008A4FBD"/>
    <w:rsid w:val="008A5115"/>
    <w:rsid w:val="008A5C94"/>
    <w:rsid w:val="008A6DBE"/>
    <w:rsid w:val="008A7ABB"/>
    <w:rsid w:val="008B0FEE"/>
    <w:rsid w:val="008B1A9B"/>
    <w:rsid w:val="008B247D"/>
    <w:rsid w:val="008B256A"/>
    <w:rsid w:val="008B28FE"/>
    <w:rsid w:val="008B2953"/>
    <w:rsid w:val="008B2D73"/>
    <w:rsid w:val="008B356A"/>
    <w:rsid w:val="008B42B8"/>
    <w:rsid w:val="008B432C"/>
    <w:rsid w:val="008B4B1F"/>
    <w:rsid w:val="008B59C5"/>
    <w:rsid w:val="008B7438"/>
    <w:rsid w:val="008B75EE"/>
    <w:rsid w:val="008B7B56"/>
    <w:rsid w:val="008B7BF8"/>
    <w:rsid w:val="008C0220"/>
    <w:rsid w:val="008C0580"/>
    <w:rsid w:val="008C0C97"/>
    <w:rsid w:val="008C13E0"/>
    <w:rsid w:val="008C15BE"/>
    <w:rsid w:val="008C1CE8"/>
    <w:rsid w:val="008C1E87"/>
    <w:rsid w:val="008C22FA"/>
    <w:rsid w:val="008C27E4"/>
    <w:rsid w:val="008C2D13"/>
    <w:rsid w:val="008C2DFC"/>
    <w:rsid w:val="008C3B0D"/>
    <w:rsid w:val="008C3B3C"/>
    <w:rsid w:val="008C4126"/>
    <w:rsid w:val="008C4EF1"/>
    <w:rsid w:val="008C59E7"/>
    <w:rsid w:val="008C5CED"/>
    <w:rsid w:val="008C6308"/>
    <w:rsid w:val="008C7617"/>
    <w:rsid w:val="008C7669"/>
    <w:rsid w:val="008D0EF8"/>
    <w:rsid w:val="008D1070"/>
    <w:rsid w:val="008D1758"/>
    <w:rsid w:val="008D287F"/>
    <w:rsid w:val="008D2CC8"/>
    <w:rsid w:val="008D339B"/>
    <w:rsid w:val="008D3DE7"/>
    <w:rsid w:val="008D4146"/>
    <w:rsid w:val="008D5196"/>
    <w:rsid w:val="008D5E73"/>
    <w:rsid w:val="008D6407"/>
    <w:rsid w:val="008D657A"/>
    <w:rsid w:val="008D69D2"/>
    <w:rsid w:val="008D6A5C"/>
    <w:rsid w:val="008D6AEA"/>
    <w:rsid w:val="008D6D9B"/>
    <w:rsid w:val="008D6E42"/>
    <w:rsid w:val="008D768F"/>
    <w:rsid w:val="008D7796"/>
    <w:rsid w:val="008D7CD1"/>
    <w:rsid w:val="008D7DDE"/>
    <w:rsid w:val="008E0A38"/>
    <w:rsid w:val="008E0A4E"/>
    <w:rsid w:val="008E0A65"/>
    <w:rsid w:val="008E2708"/>
    <w:rsid w:val="008E3167"/>
    <w:rsid w:val="008E3394"/>
    <w:rsid w:val="008E41FC"/>
    <w:rsid w:val="008E45F0"/>
    <w:rsid w:val="008E50DD"/>
    <w:rsid w:val="008E5F41"/>
    <w:rsid w:val="008E618B"/>
    <w:rsid w:val="008E63C7"/>
    <w:rsid w:val="008E674A"/>
    <w:rsid w:val="008E6AA5"/>
    <w:rsid w:val="008E6BDD"/>
    <w:rsid w:val="008E73C7"/>
    <w:rsid w:val="008F058C"/>
    <w:rsid w:val="008F05DE"/>
    <w:rsid w:val="008F0BC9"/>
    <w:rsid w:val="008F0F75"/>
    <w:rsid w:val="008F1CC8"/>
    <w:rsid w:val="008F23A8"/>
    <w:rsid w:val="008F3033"/>
    <w:rsid w:val="008F35F7"/>
    <w:rsid w:val="008F387C"/>
    <w:rsid w:val="008F45B8"/>
    <w:rsid w:val="008F4C71"/>
    <w:rsid w:val="008F5FAD"/>
    <w:rsid w:val="008F6604"/>
    <w:rsid w:val="008F73E6"/>
    <w:rsid w:val="008F7AB0"/>
    <w:rsid w:val="009002A4"/>
    <w:rsid w:val="00900468"/>
    <w:rsid w:val="0090135B"/>
    <w:rsid w:val="009025CA"/>
    <w:rsid w:val="00902841"/>
    <w:rsid w:val="00902D41"/>
    <w:rsid w:val="00903D78"/>
    <w:rsid w:val="00904D61"/>
    <w:rsid w:val="00905032"/>
    <w:rsid w:val="009054B6"/>
    <w:rsid w:val="00905A9C"/>
    <w:rsid w:val="00905DA5"/>
    <w:rsid w:val="009066B4"/>
    <w:rsid w:val="00906832"/>
    <w:rsid w:val="00906A50"/>
    <w:rsid w:val="00906B65"/>
    <w:rsid w:val="00910C88"/>
    <w:rsid w:val="009113C9"/>
    <w:rsid w:val="00911EF2"/>
    <w:rsid w:val="00911FE2"/>
    <w:rsid w:val="0091302F"/>
    <w:rsid w:val="0091310F"/>
    <w:rsid w:val="009131EA"/>
    <w:rsid w:val="009132A1"/>
    <w:rsid w:val="00913318"/>
    <w:rsid w:val="00913497"/>
    <w:rsid w:val="00913799"/>
    <w:rsid w:val="00913918"/>
    <w:rsid w:val="00913B8E"/>
    <w:rsid w:val="00913CE2"/>
    <w:rsid w:val="0091420D"/>
    <w:rsid w:val="00914CB8"/>
    <w:rsid w:val="00914F1B"/>
    <w:rsid w:val="009161DC"/>
    <w:rsid w:val="00916313"/>
    <w:rsid w:val="00916403"/>
    <w:rsid w:val="009176C1"/>
    <w:rsid w:val="00917B88"/>
    <w:rsid w:val="00920E3C"/>
    <w:rsid w:val="00921426"/>
    <w:rsid w:val="00922767"/>
    <w:rsid w:val="00922DB7"/>
    <w:rsid w:val="00923183"/>
    <w:rsid w:val="009244DA"/>
    <w:rsid w:val="00925DEF"/>
    <w:rsid w:val="009263B9"/>
    <w:rsid w:val="00926A11"/>
    <w:rsid w:val="009274CE"/>
    <w:rsid w:val="0092792D"/>
    <w:rsid w:val="009302FA"/>
    <w:rsid w:val="00930671"/>
    <w:rsid w:val="00932797"/>
    <w:rsid w:val="009331DC"/>
    <w:rsid w:val="00933965"/>
    <w:rsid w:val="00933BA0"/>
    <w:rsid w:val="00933CA3"/>
    <w:rsid w:val="00934721"/>
    <w:rsid w:val="009350F7"/>
    <w:rsid w:val="0093522F"/>
    <w:rsid w:val="0093554E"/>
    <w:rsid w:val="009358BF"/>
    <w:rsid w:val="00935F02"/>
    <w:rsid w:val="0093612B"/>
    <w:rsid w:val="009363FC"/>
    <w:rsid w:val="009364AE"/>
    <w:rsid w:val="00937A3E"/>
    <w:rsid w:val="009418EC"/>
    <w:rsid w:val="00941A1C"/>
    <w:rsid w:val="00941C8B"/>
    <w:rsid w:val="009426E7"/>
    <w:rsid w:val="0094321B"/>
    <w:rsid w:val="00943A94"/>
    <w:rsid w:val="00943B2A"/>
    <w:rsid w:val="009440C3"/>
    <w:rsid w:val="009440CA"/>
    <w:rsid w:val="00944707"/>
    <w:rsid w:val="00944AA8"/>
    <w:rsid w:val="0094549F"/>
    <w:rsid w:val="00945912"/>
    <w:rsid w:val="00945B97"/>
    <w:rsid w:val="00946E84"/>
    <w:rsid w:val="00947258"/>
    <w:rsid w:val="009473E1"/>
    <w:rsid w:val="00947A38"/>
    <w:rsid w:val="00947F05"/>
    <w:rsid w:val="00947F4C"/>
    <w:rsid w:val="00947F4E"/>
    <w:rsid w:val="00947FD5"/>
    <w:rsid w:val="0095004D"/>
    <w:rsid w:val="0095062C"/>
    <w:rsid w:val="00950797"/>
    <w:rsid w:val="00950AC0"/>
    <w:rsid w:val="0095181C"/>
    <w:rsid w:val="00951879"/>
    <w:rsid w:val="00951B19"/>
    <w:rsid w:val="0095350D"/>
    <w:rsid w:val="00953987"/>
    <w:rsid w:val="00954A53"/>
    <w:rsid w:val="00955199"/>
    <w:rsid w:val="0095525A"/>
    <w:rsid w:val="00955414"/>
    <w:rsid w:val="0095559C"/>
    <w:rsid w:val="009556DD"/>
    <w:rsid w:val="00955F57"/>
    <w:rsid w:val="00956611"/>
    <w:rsid w:val="00956EDF"/>
    <w:rsid w:val="009577CE"/>
    <w:rsid w:val="00960F03"/>
    <w:rsid w:val="009617A7"/>
    <w:rsid w:val="0096230C"/>
    <w:rsid w:val="00962646"/>
    <w:rsid w:val="00962CF1"/>
    <w:rsid w:val="00962F4E"/>
    <w:rsid w:val="0096352F"/>
    <w:rsid w:val="00963AE6"/>
    <w:rsid w:val="00964E0D"/>
    <w:rsid w:val="00964F0B"/>
    <w:rsid w:val="00964F16"/>
    <w:rsid w:val="009650B9"/>
    <w:rsid w:val="009654D9"/>
    <w:rsid w:val="0096577B"/>
    <w:rsid w:val="00966061"/>
    <w:rsid w:val="00966B34"/>
    <w:rsid w:val="00967037"/>
    <w:rsid w:val="00967126"/>
    <w:rsid w:val="0096732A"/>
    <w:rsid w:val="00967ADE"/>
    <w:rsid w:val="00967C28"/>
    <w:rsid w:val="00967D83"/>
    <w:rsid w:val="00970626"/>
    <w:rsid w:val="0097069C"/>
    <w:rsid w:val="00970DC9"/>
    <w:rsid w:val="00971004"/>
    <w:rsid w:val="009715E8"/>
    <w:rsid w:val="00971720"/>
    <w:rsid w:val="00971C61"/>
    <w:rsid w:val="0097287E"/>
    <w:rsid w:val="0097298B"/>
    <w:rsid w:val="0097370C"/>
    <w:rsid w:val="009740FD"/>
    <w:rsid w:val="00974BA1"/>
    <w:rsid w:val="0097505D"/>
    <w:rsid w:val="00975B0C"/>
    <w:rsid w:val="00975B8C"/>
    <w:rsid w:val="00975EF8"/>
    <w:rsid w:val="00977129"/>
    <w:rsid w:val="0097750C"/>
    <w:rsid w:val="0097787D"/>
    <w:rsid w:val="00977A6E"/>
    <w:rsid w:val="00980174"/>
    <w:rsid w:val="0098036C"/>
    <w:rsid w:val="00980A0F"/>
    <w:rsid w:val="00980E84"/>
    <w:rsid w:val="00980ED5"/>
    <w:rsid w:val="009826E1"/>
    <w:rsid w:val="009828EA"/>
    <w:rsid w:val="00983E2C"/>
    <w:rsid w:val="00983ED0"/>
    <w:rsid w:val="009848F0"/>
    <w:rsid w:val="00984B6C"/>
    <w:rsid w:val="00984BB4"/>
    <w:rsid w:val="00984EB8"/>
    <w:rsid w:val="009857CE"/>
    <w:rsid w:val="00986B35"/>
    <w:rsid w:val="00987984"/>
    <w:rsid w:val="00987BAB"/>
    <w:rsid w:val="00990A7E"/>
    <w:rsid w:val="009915CD"/>
    <w:rsid w:val="0099226F"/>
    <w:rsid w:val="009938A4"/>
    <w:rsid w:val="00993D0E"/>
    <w:rsid w:val="009946A2"/>
    <w:rsid w:val="00994754"/>
    <w:rsid w:val="009959C8"/>
    <w:rsid w:val="00996AC6"/>
    <w:rsid w:val="00996C7D"/>
    <w:rsid w:val="0099714B"/>
    <w:rsid w:val="00997216"/>
    <w:rsid w:val="009976F3"/>
    <w:rsid w:val="00997ECE"/>
    <w:rsid w:val="009A028B"/>
    <w:rsid w:val="009A02AB"/>
    <w:rsid w:val="009A0D53"/>
    <w:rsid w:val="009A0D99"/>
    <w:rsid w:val="009A23B9"/>
    <w:rsid w:val="009A2B49"/>
    <w:rsid w:val="009A2C82"/>
    <w:rsid w:val="009A3B20"/>
    <w:rsid w:val="009A446A"/>
    <w:rsid w:val="009A46B1"/>
    <w:rsid w:val="009A4741"/>
    <w:rsid w:val="009A47EB"/>
    <w:rsid w:val="009A4F55"/>
    <w:rsid w:val="009A504C"/>
    <w:rsid w:val="009A54AF"/>
    <w:rsid w:val="009A584A"/>
    <w:rsid w:val="009A5987"/>
    <w:rsid w:val="009A6447"/>
    <w:rsid w:val="009A6939"/>
    <w:rsid w:val="009A6D0E"/>
    <w:rsid w:val="009A7A4F"/>
    <w:rsid w:val="009A7AC5"/>
    <w:rsid w:val="009A7CE5"/>
    <w:rsid w:val="009B0326"/>
    <w:rsid w:val="009B06B5"/>
    <w:rsid w:val="009B10A3"/>
    <w:rsid w:val="009B14C0"/>
    <w:rsid w:val="009B14E5"/>
    <w:rsid w:val="009B1907"/>
    <w:rsid w:val="009B1AC1"/>
    <w:rsid w:val="009B1CDC"/>
    <w:rsid w:val="009B24CA"/>
    <w:rsid w:val="009B2B8A"/>
    <w:rsid w:val="009B3470"/>
    <w:rsid w:val="009B3ADB"/>
    <w:rsid w:val="009B3BF3"/>
    <w:rsid w:val="009B4D23"/>
    <w:rsid w:val="009B4DBB"/>
    <w:rsid w:val="009B55F6"/>
    <w:rsid w:val="009B5623"/>
    <w:rsid w:val="009B564B"/>
    <w:rsid w:val="009B5EC9"/>
    <w:rsid w:val="009B65B9"/>
    <w:rsid w:val="009B6C7D"/>
    <w:rsid w:val="009B76AF"/>
    <w:rsid w:val="009B7774"/>
    <w:rsid w:val="009B79D6"/>
    <w:rsid w:val="009B7B27"/>
    <w:rsid w:val="009C087E"/>
    <w:rsid w:val="009C14F7"/>
    <w:rsid w:val="009C1738"/>
    <w:rsid w:val="009C17D6"/>
    <w:rsid w:val="009C1F10"/>
    <w:rsid w:val="009C2391"/>
    <w:rsid w:val="009C249F"/>
    <w:rsid w:val="009C340E"/>
    <w:rsid w:val="009C371A"/>
    <w:rsid w:val="009C3974"/>
    <w:rsid w:val="009C3D92"/>
    <w:rsid w:val="009C43BB"/>
    <w:rsid w:val="009C47F6"/>
    <w:rsid w:val="009C65E4"/>
    <w:rsid w:val="009C679E"/>
    <w:rsid w:val="009C6C55"/>
    <w:rsid w:val="009C6EA1"/>
    <w:rsid w:val="009C77E7"/>
    <w:rsid w:val="009C7F6A"/>
    <w:rsid w:val="009D01CF"/>
    <w:rsid w:val="009D17F6"/>
    <w:rsid w:val="009D1A85"/>
    <w:rsid w:val="009D1E87"/>
    <w:rsid w:val="009D1FDB"/>
    <w:rsid w:val="009D22E1"/>
    <w:rsid w:val="009D24EE"/>
    <w:rsid w:val="009D2618"/>
    <w:rsid w:val="009D2669"/>
    <w:rsid w:val="009D313A"/>
    <w:rsid w:val="009D33DE"/>
    <w:rsid w:val="009D3ACC"/>
    <w:rsid w:val="009D3AFC"/>
    <w:rsid w:val="009D3F22"/>
    <w:rsid w:val="009D4906"/>
    <w:rsid w:val="009D509F"/>
    <w:rsid w:val="009D5E81"/>
    <w:rsid w:val="009D70E1"/>
    <w:rsid w:val="009D73D2"/>
    <w:rsid w:val="009D7924"/>
    <w:rsid w:val="009D7E5B"/>
    <w:rsid w:val="009E0A91"/>
    <w:rsid w:val="009E20A5"/>
    <w:rsid w:val="009E4B37"/>
    <w:rsid w:val="009E4CC1"/>
    <w:rsid w:val="009E5469"/>
    <w:rsid w:val="009E57D6"/>
    <w:rsid w:val="009E5EEF"/>
    <w:rsid w:val="009E650F"/>
    <w:rsid w:val="009E6F71"/>
    <w:rsid w:val="009F0FA8"/>
    <w:rsid w:val="009F149F"/>
    <w:rsid w:val="009F155E"/>
    <w:rsid w:val="009F1923"/>
    <w:rsid w:val="009F1C7B"/>
    <w:rsid w:val="009F2545"/>
    <w:rsid w:val="009F275E"/>
    <w:rsid w:val="009F2FCC"/>
    <w:rsid w:val="009F42E4"/>
    <w:rsid w:val="009F474F"/>
    <w:rsid w:val="009F51E5"/>
    <w:rsid w:val="009F53F1"/>
    <w:rsid w:val="009F5874"/>
    <w:rsid w:val="009F5EA4"/>
    <w:rsid w:val="009F61CB"/>
    <w:rsid w:val="009F631F"/>
    <w:rsid w:val="009F6439"/>
    <w:rsid w:val="009F69E2"/>
    <w:rsid w:val="009F7267"/>
    <w:rsid w:val="009F7A89"/>
    <w:rsid w:val="009F7D45"/>
    <w:rsid w:val="00A00208"/>
    <w:rsid w:val="00A006A7"/>
    <w:rsid w:val="00A0100A"/>
    <w:rsid w:val="00A01664"/>
    <w:rsid w:val="00A029CE"/>
    <w:rsid w:val="00A02C99"/>
    <w:rsid w:val="00A03844"/>
    <w:rsid w:val="00A0388D"/>
    <w:rsid w:val="00A03A41"/>
    <w:rsid w:val="00A03AC6"/>
    <w:rsid w:val="00A0496E"/>
    <w:rsid w:val="00A04DF9"/>
    <w:rsid w:val="00A056FB"/>
    <w:rsid w:val="00A05714"/>
    <w:rsid w:val="00A05C7D"/>
    <w:rsid w:val="00A05DE5"/>
    <w:rsid w:val="00A06E6E"/>
    <w:rsid w:val="00A07385"/>
    <w:rsid w:val="00A07785"/>
    <w:rsid w:val="00A07C71"/>
    <w:rsid w:val="00A10D04"/>
    <w:rsid w:val="00A10DEF"/>
    <w:rsid w:val="00A11257"/>
    <w:rsid w:val="00A11271"/>
    <w:rsid w:val="00A11984"/>
    <w:rsid w:val="00A11BA2"/>
    <w:rsid w:val="00A12234"/>
    <w:rsid w:val="00A124DD"/>
    <w:rsid w:val="00A13E9F"/>
    <w:rsid w:val="00A1412B"/>
    <w:rsid w:val="00A143AB"/>
    <w:rsid w:val="00A1458A"/>
    <w:rsid w:val="00A1593C"/>
    <w:rsid w:val="00A15D19"/>
    <w:rsid w:val="00A1617A"/>
    <w:rsid w:val="00A177D7"/>
    <w:rsid w:val="00A20EB6"/>
    <w:rsid w:val="00A21126"/>
    <w:rsid w:val="00A21546"/>
    <w:rsid w:val="00A21C46"/>
    <w:rsid w:val="00A242B9"/>
    <w:rsid w:val="00A2432E"/>
    <w:rsid w:val="00A24426"/>
    <w:rsid w:val="00A25AD2"/>
    <w:rsid w:val="00A25B61"/>
    <w:rsid w:val="00A25D30"/>
    <w:rsid w:val="00A25DDB"/>
    <w:rsid w:val="00A2632E"/>
    <w:rsid w:val="00A27385"/>
    <w:rsid w:val="00A2743E"/>
    <w:rsid w:val="00A3059D"/>
    <w:rsid w:val="00A306F3"/>
    <w:rsid w:val="00A30E9A"/>
    <w:rsid w:val="00A3185C"/>
    <w:rsid w:val="00A32EF4"/>
    <w:rsid w:val="00A338C5"/>
    <w:rsid w:val="00A33BBC"/>
    <w:rsid w:val="00A351A1"/>
    <w:rsid w:val="00A352A8"/>
    <w:rsid w:val="00A354CA"/>
    <w:rsid w:val="00A35AD6"/>
    <w:rsid w:val="00A36797"/>
    <w:rsid w:val="00A3689D"/>
    <w:rsid w:val="00A37580"/>
    <w:rsid w:val="00A40150"/>
    <w:rsid w:val="00A40401"/>
    <w:rsid w:val="00A40439"/>
    <w:rsid w:val="00A40635"/>
    <w:rsid w:val="00A409A9"/>
    <w:rsid w:val="00A40A78"/>
    <w:rsid w:val="00A40BC6"/>
    <w:rsid w:val="00A42137"/>
    <w:rsid w:val="00A42376"/>
    <w:rsid w:val="00A4304E"/>
    <w:rsid w:val="00A43C31"/>
    <w:rsid w:val="00A440AF"/>
    <w:rsid w:val="00A444D2"/>
    <w:rsid w:val="00A44719"/>
    <w:rsid w:val="00A44886"/>
    <w:rsid w:val="00A4651A"/>
    <w:rsid w:val="00A4783D"/>
    <w:rsid w:val="00A479C7"/>
    <w:rsid w:val="00A50C82"/>
    <w:rsid w:val="00A50C8C"/>
    <w:rsid w:val="00A510FD"/>
    <w:rsid w:val="00A51172"/>
    <w:rsid w:val="00A51508"/>
    <w:rsid w:val="00A52B0F"/>
    <w:rsid w:val="00A53376"/>
    <w:rsid w:val="00A54E61"/>
    <w:rsid w:val="00A55173"/>
    <w:rsid w:val="00A555D6"/>
    <w:rsid w:val="00A603C4"/>
    <w:rsid w:val="00A61142"/>
    <w:rsid w:val="00A627D5"/>
    <w:rsid w:val="00A63346"/>
    <w:rsid w:val="00A63C02"/>
    <w:rsid w:val="00A640B4"/>
    <w:rsid w:val="00A645CA"/>
    <w:rsid w:val="00A649C6"/>
    <w:rsid w:val="00A64BC1"/>
    <w:rsid w:val="00A651F6"/>
    <w:rsid w:val="00A66C81"/>
    <w:rsid w:val="00A66F26"/>
    <w:rsid w:val="00A67BFA"/>
    <w:rsid w:val="00A704C8"/>
    <w:rsid w:val="00A72525"/>
    <w:rsid w:val="00A72C42"/>
    <w:rsid w:val="00A72FD9"/>
    <w:rsid w:val="00A73465"/>
    <w:rsid w:val="00A73682"/>
    <w:rsid w:val="00A73C58"/>
    <w:rsid w:val="00A743AA"/>
    <w:rsid w:val="00A7486E"/>
    <w:rsid w:val="00A74949"/>
    <w:rsid w:val="00A749FF"/>
    <w:rsid w:val="00A74B57"/>
    <w:rsid w:val="00A74E41"/>
    <w:rsid w:val="00A75738"/>
    <w:rsid w:val="00A75828"/>
    <w:rsid w:val="00A75A69"/>
    <w:rsid w:val="00A75E75"/>
    <w:rsid w:val="00A76241"/>
    <w:rsid w:val="00A76A2B"/>
    <w:rsid w:val="00A7739D"/>
    <w:rsid w:val="00A806AB"/>
    <w:rsid w:val="00A8107E"/>
    <w:rsid w:val="00A81950"/>
    <w:rsid w:val="00A81B5A"/>
    <w:rsid w:val="00A82A6B"/>
    <w:rsid w:val="00A82C83"/>
    <w:rsid w:val="00A838E9"/>
    <w:rsid w:val="00A83B10"/>
    <w:rsid w:val="00A84B48"/>
    <w:rsid w:val="00A84D48"/>
    <w:rsid w:val="00A85239"/>
    <w:rsid w:val="00A8599E"/>
    <w:rsid w:val="00A85A42"/>
    <w:rsid w:val="00A8601B"/>
    <w:rsid w:val="00A86032"/>
    <w:rsid w:val="00A8614C"/>
    <w:rsid w:val="00A87463"/>
    <w:rsid w:val="00A876CD"/>
    <w:rsid w:val="00A87B53"/>
    <w:rsid w:val="00A87DA6"/>
    <w:rsid w:val="00A90E26"/>
    <w:rsid w:val="00A913B3"/>
    <w:rsid w:val="00A92777"/>
    <w:rsid w:val="00A92F10"/>
    <w:rsid w:val="00A93330"/>
    <w:rsid w:val="00A938BC"/>
    <w:rsid w:val="00A93CAC"/>
    <w:rsid w:val="00A94012"/>
    <w:rsid w:val="00A944E0"/>
    <w:rsid w:val="00A9522D"/>
    <w:rsid w:val="00A95803"/>
    <w:rsid w:val="00A958DC"/>
    <w:rsid w:val="00A95FFF"/>
    <w:rsid w:val="00A9602D"/>
    <w:rsid w:val="00A96E73"/>
    <w:rsid w:val="00A974B4"/>
    <w:rsid w:val="00A974BD"/>
    <w:rsid w:val="00AA0119"/>
    <w:rsid w:val="00AA0678"/>
    <w:rsid w:val="00AA0BC7"/>
    <w:rsid w:val="00AA1A6F"/>
    <w:rsid w:val="00AA1C4E"/>
    <w:rsid w:val="00AA2EC2"/>
    <w:rsid w:val="00AA34D2"/>
    <w:rsid w:val="00AA3EF9"/>
    <w:rsid w:val="00AA41CD"/>
    <w:rsid w:val="00AA4B28"/>
    <w:rsid w:val="00AA4BA6"/>
    <w:rsid w:val="00AA4C7D"/>
    <w:rsid w:val="00AA5A46"/>
    <w:rsid w:val="00AA5D6C"/>
    <w:rsid w:val="00AA6126"/>
    <w:rsid w:val="00AA6BD8"/>
    <w:rsid w:val="00AA709B"/>
    <w:rsid w:val="00AB012A"/>
    <w:rsid w:val="00AB060D"/>
    <w:rsid w:val="00AB0842"/>
    <w:rsid w:val="00AB1329"/>
    <w:rsid w:val="00AB25DF"/>
    <w:rsid w:val="00AB3058"/>
    <w:rsid w:val="00AB319D"/>
    <w:rsid w:val="00AB32E4"/>
    <w:rsid w:val="00AB3B58"/>
    <w:rsid w:val="00AB4308"/>
    <w:rsid w:val="00AB45E7"/>
    <w:rsid w:val="00AB571C"/>
    <w:rsid w:val="00AB586D"/>
    <w:rsid w:val="00AB60DE"/>
    <w:rsid w:val="00AB677F"/>
    <w:rsid w:val="00AB6DE9"/>
    <w:rsid w:val="00AB7358"/>
    <w:rsid w:val="00AB79EA"/>
    <w:rsid w:val="00AC0145"/>
    <w:rsid w:val="00AC040F"/>
    <w:rsid w:val="00AC0DA5"/>
    <w:rsid w:val="00AC0DB5"/>
    <w:rsid w:val="00AC1271"/>
    <w:rsid w:val="00AC305B"/>
    <w:rsid w:val="00AC30EA"/>
    <w:rsid w:val="00AC347A"/>
    <w:rsid w:val="00AC4536"/>
    <w:rsid w:val="00AC4BBA"/>
    <w:rsid w:val="00AC4BCF"/>
    <w:rsid w:val="00AC4D9B"/>
    <w:rsid w:val="00AC502F"/>
    <w:rsid w:val="00AC5846"/>
    <w:rsid w:val="00AC5B1C"/>
    <w:rsid w:val="00AC6107"/>
    <w:rsid w:val="00AC7276"/>
    <w:rsid w:val="00AC73DA"/>
    <w:rsid w:val="00AD0AE4"/>
    <w:rsid w:val="00AD0CFD"/>
    <w:rsid w:val="00AD0D57"/>
    <w:rsid w:val="00AD12A3"/>
    <w:rsid w:val="00AD2ACC"/>
    <w:rsid w:val="00AD2E11"/>
    <w:rsid w:val="00AD316A"/>
    <w:rsid w:val="00AD4347"/>
    <w:rsid w:val="00AD5389"/>
    <w:rsid w:val="00AD5500"/>
    <w:rsid w:val="00AD63E4"/>
    <w:rsid w:val="00AD692F"/>
    <w:rsid w:val="00AD715D"/>
    <w:rsid w:val="00AD7339"/>
    <w:rsid w:val="00AD7567"/>
    <w:rsid w:val="00AD7EE3"/>
    <w:rsid w:val="00AE0D12"/>
    <w:rsid w:val="00AE0E8C"/>
    <w:rsid w:val="00AE1144"/>
    <w:rsid w:val="00AE1943"/>
    <w:rsid w:val="00AE1F17"/>
    <w:rsid w:val="00AE2103"/>
    <w:rsid w:val="00AE2121"/>
    <w:rsid w:val="00AE2B0E"/>
    <w:rsid w:val="00AE43EC"/>
    <w:rsid w:val="00AE4F97"/>
    <w:rsid w:val="00AE52D2"/>
    <w:rsid w:val="00AE5C27"/>
    <w:rsid w:val="00AE60B4"/>
    <w:rsid w:val="00AE664B"/>
    <w:rsid w:val="00AE72BE"/>
    <w:rsid w:val="00AE73A6"/>
    <w:rsid w:val="00AE744A"/>
    <w:rsid w:val="00AE7FEE"/>
    <w:rsid w:val="00AF013D"/>
    <w:rsid w:val="00AF06DC"/>
    <w:rsid w:val="00AF0892"/>
    <w:rsid w:val="00AF0946"/>
    <w:rsid w:val="00AF139B"/>
    <w:rsid w:val="00AF1713"/>
    <w:rsid w:val="00AF2FC0"/>
    <w:rsid w:val="00AF4524"/>
    <w:rsid w:val="00AF452F"/>
    <w:rsid w:val="00AF5E05"/>
    <w:rsid w:val="00AF73CE"/>
    <w:rsid w:val="00B00513"/>
    <w:rsid w:val="00B00904"/>
    <w:rsid w:val="00B01168"/>
    <w:rsid w:val="00B02CB6"/>
    <w:rsid w:val="00B0359A"/>
    <w:rsid w:val="00B037D7"/>
    <w:rsid w:val="00B0385D"/>
    <w:rsid w:val="00B04092"/>
    <w:rsid w:val="00B0496F"/>
    <w:rsid w:val="00B049D8"/>
    <w:rsid w:val="00B04A0D"/>
    <w:rsid w:val="00B05230"/>
    <w:rsid w:val="00B055DA"/>
    <w:rsid w:val="00B05752"/>
    <w:rsid w:val="00B05A86"/>
    <w:rsid w:val="00B05CE9"/>
    <w:rsid w:val="00B05D18"/>
    <w:rsid w:val="00B0666C"/>
    <w:rsid w:val="00B0678C"/>
    <w:rsid w:val="00B07DA9"/>
    <w:rsid w:val="00B10254"/>
    <w:rsid w:val="00B10A29"/>
    <w:rsid w:val="00B10F6F"/>
    <w:rsid w:val="00B114F1"/>
    <w:rsid w:val="00B12137"/>
    <w:rsid w:val="00B124C6"/>
    <w:rsid w:val="00B12E09"/>
    <w:rsid w:val="00B1386D"/>
    <w:rsid w:val="00B15F98"/>
    <w:rsid w:val="00B17085"/>
    <w:rsid w:val="00B1711B"/>
    <w:rsid w:val="00B176CC"/>
    <w:rsid w:val="00B17CCD"/>
    <w:rsid w:val="00B206BC"/>
    <w:rsid w:val="00B20A82"/>
    <w:rsid w:val="00B21B7A"/>
    <w:rsid w:val="00B22DF4"/>
    <w:rsid w:val="00B244A9"/>
    <w:rsid w:val="00B2484F"/>
    <w:rsid w:val="00B250EB"/>
    <w:rsid w:val="00B25F9F"/>
    <w:rsid w:val="00B26657"/>
    <w:rsid w:val="00B27807"/>
    <w:rsid w:val="00B30E1C"/>
    <w:rsid w:val="00B30F77"/>
    <w:rsid w:val="00B310FB"/>
    <w:rsid w:val="00B3124E"/>
    <w:rsid w:val="00B33407"/>
    <w:rsid w:val="00B3383E"/>
    <w:rsid w:val="00B346E8"/>
    <w:rsid w:val="00B34722"/>
    <w:rsid w:val="00B348C8"/>
    <w:rsid w:val="00B354AB"/>
    <w:rsid w:val="00B36606"/>
    <w:rsid w:val="00B37488"/>
    <w:rsid w:val="00B37647"/>
    <w:rsid w:val="00B376E4"/>
    <w:rsid w:val="00B37B96"/>
    <w:rsid w:val="00B37D82"/>
    <w:rsid w:val="00B37E3D"/>
    <w:rsid w:val="00B4062E"/>
    <w:rsid w:val="00B40A98"/>
    <w:rsid w:val="00B41E3D"/>
    <w:rsid w:val="00B42EBC"/>
    <w:rsid w:val="00B431BF"/>
    <w:rsid w:val="00B43369"/>
    <w:rsid w:val="00B45433"/>
    <w:rsid w:val="00B456C8"/>
    <w:rsid w:val="00B45709"/>
    <w:rsid w:val="00B45EBF"/>
    <w:rsid w:val="00B46300"/>
    <w:rsid w:val="00B4672A"/>
    <w:rsid w:val="00B46836"/>
    <w:rsid w:val="00B47203"/>
    <w:rsid w:val="00B478D6"/>
    <w:rsid w:val="00B47E51"/>
    <w:rsid w:val="00B507B5"/>
    <w:rsid w:val="00B50C7D"/>
    <w:rsid w:val="00B51B9E"/>
    <w:rsid w:val="00B51F01"/>
    <w:rsid w:val="00B529AE"/>
    <w:rsid w:val="00B531A3"/>
    <w:rsid w:val="00B54222"/>
    <w:rsid w:val="00B55093"/>
    <w:rsid w:val="00B5549A"/>
    <w:rsid w:val="00B57EA5"/>
    <w:rsid w:val="00B60EF5"/>
    <w:rsid w:val="00B62A9B"/>
    <w:rsid w:val="00B631D4"/>
    <w:rsid w:val="00B6383A"/>
    <w:rsid w:val="00B63993"/>
    <w:rsid w:val="00B63C91"/>
    <w:rsid w:val="00B64653"/>
    <w:rsid w:val="00B647E2"/>
    <w:rsid w:val="00B648DA"/>
    <w:rsid w:val="00B6491D"/>
    <w:rsid w:val="00B64D85"/>
    <w:rsid w:val="00B65271"/>
    <w:rsid w:val="00B65E79"/>
    <w:rsid w:val="00B65F7A"/>
    <w:rsid w:val="00B65FCB"/>
    <w:rsid w:val="00B66601"/>
    <w:rsid w:val="00B66681"/>
    <w:rsid w:val="00B676FB"/>
    <w:rsid w:val="00B67EB9"/>
    <w:rsid w:val="00B701EC"/>
    <w:rsid w:val="00B704CA"/>
    <w:rsid w:val="00B7090C"/>
    <w:rsid w:val="00B71E6D"/>
    <w:rsid w:val="00B7284D"/>
    <w:rsid w:val="00B7357F"/>
    <w:rsid w:val="00B73D8D"/>
    <w:rsid w:val="00B7430A"/>
    <w:rsid w:val="00B74838"/>
    <w:rsid w:val="00B74AF8"/>
    <w:rsid w:val="00B75787"/>
    <w:rsid w:val="00B75D62"/>
    <w:rsid w:val="00B767C6"/>
    <w:rsid w:val="00B76888"/>
    <w:rsid w:val="00B76F22"/>
    <w:rsid w:val="00B7723A"/>
    <w:rsid w:val="00B80466"/>
    <w:rsid w:val="00B809BF"/>
    <w:rsid w:val="00B81E9F"/>
    <w:rsid w:val="00B82382"/>
    <w:rsid w:val="00B82564"/>
    <w:rsid w:val="00B82D2B"/>
    <w:rsid w:val="00B82DD9"/>
    <w:rsid w:val="00B83121"/>
    <w:rsid w:val="00B84021"/>
    <w:rsid w:val="00B84EEC"/>
    <w:rsid w:val="00B855BB"/>
    <w:rsid w:val="00B85EFB"/>
    <w:rsid w:val="00B8610E"/>
    <w:rsid w:val="00B86461"/>
    <w:rsid w:val="00B8686F"/>
    <w:rsid w:val="00B8780A"/>
    <w:rsid w:val="00B9006B"/>
    <w:rsid w:val="00B90483"/>
    <w:rsid w:val="00B90F33"/>
    <w:rsid w:val="00B9186A"/>
    <w:rsid w:val="00B91B66"/>
    <w:rsid w:val="00B92464"/>
    <w:rsid w:val="00B933CB"/>
    <w:rsid w:val="00B94833"/>
    <w:rsid w:val="00B9501F"/>
    <w:rsid w:val="00B9564E"/>
    <w:rsid w:val="00B9612D"/>
    <w:rsid w:val="00B963F4"/>
    <w:rsid w:val="00B964EA"/>
    <w:rsid w:val="00B9691F"/>
    <w:rsid w:val="00B96FCD"/>
    <w:rsid w:val="00BA1157"/>
    <w:rsid w:val="00BA1719"/>
    <w:rsid w:val="00BA1E40"/>
    <w:rsid w:val="00BA2C22"/>
    <w:rsid w:val="00BA3C9E"/>
    <w:rsid w:val="00BA42DE"/>
    <w:rsid w:val="00BA46BD"/>
    <w:rsid w:val="00BA50BC"/>
    <w:rsid w:val="00BA54CD"/>
    <w:rsid w:val="00BA59FB"/>
    <w:rsid w:val="00BA5D10"/>
    <w:rsid w:val="00BA5E93"/>
    <w:rsid w:val="00BA6B10"/>
    <w:rsid w:val="00BA6CB6"/>
    <w:rsid w:val="00BA74A0"/>
    <w:rsid w:val="00BA759A"/>
    <w:rsid w:val="00BA7CF5"/>
    <w:rsid w:val="00BB0571"/>
    <w:rsid w:val="00BB05CE"/>
    <w:rsid w:val="00BB1452"/>
    <w:rsid w:val="00BB19F0"/>
    <w:rsid w:val="00BB1EF5"/>
    <w:rsid w:val="00BB223B"/>
    <w:rsid w:val="00BB2994"/>
    <w:rsid w:val="00BB2BD8"/>
    <w:rsid w:val="00BB2D20"/>
    <w:rsid w:val="00BB32CD"/>
    <w:rsid w:val="00BB35E5"/>
    <w:rsid w:val="00BB4194"/>
    <w:rsid w:val="00BB4968"/>
    <w:rsid w:val="00BB55BD"/>
    <w:rsid w:val="00BB5677"/>
    <w:rsid w:val="00BB69E3"/>
    <w:rsid w:val="00BB6D31"/>
    <w:rsid w:val="00BB75E2"/>
    <w:rsid w:val="00BB78B9"/>
    <w:rsid w:val="00BB78D3"/>
    <w:rsid w:val="00BB7A38"/>
    <w:rsid w:val="00BB7EFC"/>
    <w:rsid w:val="00BC0814"/>
    <w:rsid w:val="00BC187F"/>
    <w:rsid w:val="00BC2458"/>
    <w:rsid w:val="00BC24D0"/>
    <w:rsid w:val="00BC2762"/>
    <w:rsid w:val="00BC327A"/>
    <w:rsid w:val="00BC32B6"/>
    <w:rsid w:val="00BC33B9"/>
    <w:rsid w:val="00BC45D5"/>
    <w:rsid w:val="00BC46FF"/>
    <w:rsid w:val="00BC47D1"/>
    <w:rsid w:val="00BC48D1"/>
    <w:rsid w:val="00BC4930"/>
    <w:rsid w:val="00BC4BA1"/>
    <w:rsid w:val="00BC5783"/>
    <w:rsid w:val="00BC58A4"/>
    <w:rsid w:val="00BC5EE8"/>
    <w:rsid w:val="00BC6342"/>
    <w:rsid w:val="00BC769E"/>
    <w:rsid w:val="00BD04BE"/>
    <w:rsid w:val="00BD04CE"/>
    <w:rsid w:val="00BD05D3"/>
    <w:rsid w:val="00BD0A79"/>
    <w:rsid w:val="00BD1A6D"/>
    <w:rsid w:val="00BD1ADD"/>
    <w:rsid w:val="00BD1F48"/>
    <w:rsid w:val="00BD2680"/>
    <w:rsid w:val="00BD31C0"/>
    <w:rsid w:val="00BD34CF"/>
    <w:rsid w:val="00BD3EFB"/>
    <w:rsid w:val="00BD51DB"/>
    <w:rsid w:val="00BD536F"/>
    <w:rsid w:val="00BD6D63"/>
    <w:rsid w:val="00BD75B8"/>
    <w:rsid w:val="00BD788F"/>
    <w:rsid w:val="00BD78A5"/>
    <w:rsid w:val="00BD79A4"/>
    <w:rsid w:val="00BD7B5A"/>
    <w:rsid w:val="00BD7BA9"/>
    <w:rsid w:val="00BE053F"/>
    <w:rsid w:val="00BE330A"/>
    <w:rsid w:val="00BE3762"/>
    <w:rsid w:val="00BE3A41"/>
    <w:rsid w:val="00BE401D"/>
    <w:rsid w:val="00BE4B88"/>
    <w:rsid w:val="00BE5A5E"/>
    <w:rsid w:val="00BE66A1"/>
    <w:rsid w:val="00BE698E"/>
    <w:rsid w:val="00BE6CFA"/>
    <w:rsid w:val="00BE710F"/>
    <w:rsid w:val="00BE7AF3"/>
    <w:rsid w:val="00BE7B39"/>
    <w:rsid w:val="00BE7D8A"/>
    <w:rsid w:val="00BF0097"/>
    <w:rsid w:val="00BF0145"/>
    <w:rsid w:val="00BF1705"/>
    <w:rsid w:val="00BF1D33"/>
    <w:rsid w:val="00BF2226"/>
    <w:rsid w:val="00BF2246"/>
    <w:rsid w:val="00BF26ED"/>
    <w:rsid w:val="00BF297D"/>
    <w:rsid w:val="00BF342B"/>
    <w:rsid w:val="00BF35F2"/>
    <w:rsid w:val="00BF5FF6"/>
    <w:rsid w:val="00BF631A"/>
    <w:rsid w:val="00BF6B7C"/>
    <w:rsid w:val="00BF7496"/>
    <w:rsid w:val="00BF7AD9"/>
    <w:rsid w:val="00C00D65"/>
    <w:rsid w:val="00C00E6E"/>
    <w:rsid w:val="00C014B7"/>
    <w:rsid w:val="00C0209A"/>
    <w:rsid w:val="00C0238D"/>
    <w:rsid w:val="00C02583"/>
    <w:rsid w:val="00C03113"/>
    <w:rsid w:val="00C03299"/>
    <w:rsid w:val="00C041DE"/>
    <w:rsid w:val="00C04321"/>
    <w:rsid w:val="00C04363"/>
    <w:rsid w:val="00C04C29"/>
    <w:rsid w:val="00C05098"/>
    <w:rsid w:val="00C069C4"/>
    <w:rsid w:val="00C06CB5"/>
    <w:rsid w:val="00C0705A"/>
    <w:rsid w:val="00C07CA3"/>
    <w:rsid w:val="00C11344"/>
    <w:rsid w:val="00C114BE"/>
    <w:rsid w:val="00C114D0"/>
    <w:rsid w:val="00C1172B"/>
    <w:rsid w:val="00C12166"/>
    <w:rsid w:val="00C12174"/>
    <w:rsid w:val="00C12FB5"/>
    <w:rsid w:val="00C13258"/>
    <w:rsid w:val="00C137DE"/>
    <w:rsid w:val="00C15B44"/>
    <w:rsid w:val="00C16202"/>
    <w:rsid w:val="00C162F5"/>
    <w:rsid w:val="00C17E67"/>
    <w:rsid w:val="00C17EF2"/>
    <w:rsid w:val="00C2033F"/>
    <w:rsid w:val="00C207B0"/>
    <w:rsid w:val="00C20806"/>
    <w:rsid w:val="00C22301"/>
    <w:rsid w:val="00C22FC2"/>
    <w:rsid w:val="00C234E1"/>
    <w:rsid w:val="00C23D91"/>
    <w:rsid w:val="00C25645"/>
    <w:rsid w:val="00C26BE4"/>
    <w:rsid w:val="00C27826"/>
    <w:rsid w:val="00C27CD8"/>
    <w:rsid w:val="00C3089E"/>
    <w:rsid w:val="00C30A2B"/>
    <w:rsid w:val="00C30F96"/>
    <w:rsid w:val="00C31DA8"/>
    <w:rsid w:val="00C31DB6"/>
    <w:rsid w:val="00C32A84"/>
    <w:rsid w:val="00C32E62"/>
    <w:rsid w:val="00C34062"/>
    <w:rsid w:val="00C3488A"/>
    <w:rsid w:val="00C35589"/>
    <w:rsid w:val="00C35B2F"/>
    <w:rsid w:val="00C35FB5"/>
    <w:rsid w:val="00C36BB2"/>
    <w:rsid w:val="00C36C51"/>
    <w:rsid w:val="00C370A1"/>
    <w:rsid w:val="00C375AB"/>
    <w:rsid w:val="00C37D15"/>
    <w:rsid w:val="00C37EC3"/>
    <w:rsid w:val="00C4018C"/>
    <w:rsid w:val="00C4038B"/>
    <w:rsid w:val="00C4041A"/>
    <w:rsid w:val="00C4042B"/>
    <w:rsid w:val="00C42B6D"/>
    <w:rsid w:val="00C432E1"/>
    <w:rsid w:val="00C43953"/>
    <w:rsid w:val="00C43C77"/>
    <w:rsid w:val="00C440E3"/>
    <w:rsid w:val="00C44551"/>
    <w:rsid w:val="00C44FDA"/>
    <w:rsid w:val="00C45CAB"/>
    <w:rsid w:val="00C45D0A"/>
    <w:rsid w:val="00C466CF"/>
    <w:rsid w:val="00C46F16"/>
    <w:rsid w:val="00C47022"/>
    <w:rsid w:val="00C478A7"/>
    <w:rsid w:val="00C47E43"/>
    <w:rsid w:val="00C47FF4"/>
    <w:rsid w:val="00C50E1F"/>
    <w:rsid w:val="00C51D8E"/>
    <w:rsid w:val="00C5214B"/>
    <w:rsid w:val="00C5250C"/>
    <w:rsid w:val="00C53FB9"/>
    <w:rsid w:val="00C549FD"/>
    <w:rsid w:val="00C55A84"/>
    <w:rsid w:val="00C55BA3"/>
    <w:rsid w:val="00C55CB6"/>
    <w:rsid w:val="00C56312"/>
    <w:rsid w:val="00C56BD0"/>
    <w:rsid w:val="00C57160"/>
    <w:rsid w:val="00C57DB5"/>
    <w:rsid w:val="00C60553"/>
    <w:rsid w:val="00C6122D"/>
    <w:rsid w:val="00C61979"/>
    <w:rsid w:val="00C62364"/>
    <w:rsid w:val="00C6374D"/>
    <w:rsid w:val="00C64835"/>
    <w:rsid w:val="00C64CCE"/>
    <w:rsid w:val="00C64D59"/>
    <w:rsid w:val="00C64D75"/>
    <w:rsid w:val="00C6644B"/>
    <w:rsid w:val="00C66AC1"/>
    <w:rsid w:val="00C67F17"/>
    <w:rsid w:val="00C709D9"/>
    <w:rsid w:val="00C70BC5"/>
    <w:rsid w:val="00C70E3C"/>
    <w:rsid w:val="00C7179C"/>
    <w:rsid w:val="00C71B8A"/>
    <w:rsid w:val="00C71EF8"/>
    <w:rsid w:val="00C72E7F"/>
    <w:rsid w:val="00C734D4"/>
    <w:rsid w:val="00C7369E"/>
    <w:rsid w:val="00C738F4"/>
    <w:rsid w:val="00C74322"/>
    <w:rsid w:val="00C7475B"/>
    <w:rsid w:val="00C74FD1"/>
    <w:rsid w:val="00C750C1"/>
    <w:rsid w:val="00C751DD"/>
    <w:rsid w:val="00C75619"/>
    <w:rsid w:val="00C75E07"/>
    <w:rsid w:val="00C77771"/>
    <w:rsid w:val="00C77E22"/>
    <w:rsid w:val="00C803E5"/>
    <w:rsid w:val="00C806D3"/>
    <w:rsid w:val="00C80C13"/>
    <w:rsid w:val="00C80FDE"/>
    <w:rsid w:val="00C81307"/>
    <w:rsid w:val="00C81A85"/>
    <w:rsid w:val="00C81D5F"/>
    <w:rsid w:val="00C83596"/>
    <w:rsid w:val="00C8369B"/>
    <w:rsid w:val="00C83D1F"/>
    <w:rsid w:val="00C847D4"/>
    <w:rsid w:val="00C85DB1"/>
    <w:rsid w:val="00C86393"/>
    <w:rsid w:val="00C8690F"/>
    <w:rsid w:val="00C87747"/>
    <w:rsid w:val="00C87818"/>
    <w:rsid w:val="00C87AD0"/>
    <w:rsid w:val="00C87D48"/>
    <w:rsid w:val="00C9014A"/>
    <w:rsid w:val="00C9040A"/>
    <w:rsid w:val="00C907E2"/>
    <w:rsid w:val="00C90DDC"/>
    <w:rsid w:val="00C914AF"/>
    <w:rsid w:val="00C91507"/>
    <w:rsid w:val="00C91C49"/>
    <w:rsid w:val="00C91D3F"/>
    <w:rsid w:val="00C91D40"/>
    <w:rsid w:val="00C91EAF"/>
    <w:rsid w:val="00C92827"/>
    <w:rsid w:val="00C929F1"/>
    <w:rsid w:val="00C9310E"/>
    <w:rsid w:val="00C9343A"/>
    <w:rsid w:val="00C93EC4"/>
    <w:rsid w:val="00C94679"/>
    <w:rsid w:val="00C94EAA"/>
    <w:rsid w:val="00C95F17"/>
    <w:rsid w:val="00C961E3"/>
    <w:rsid w:val="00C9639A"/>
    <w:rsid w:val="00C969C8"/>
    <w:rsid w:val="00C97F04"/>
    <w:rsid w:val="00CA162A"/>
    <w:rsid w:val="00CA1AD1"/>
    <w:rsid w:val="00CA24BE"/>
    <w:rsid w:val="00CA2535"/>
    <w:rsid w:val="00CA2B12"/>
    <w:rsid w:val="00CA35DB"/>
    <w:rsid w:val="00CA3AA6"/>
    <w:rsid w:val="00CA438C"/>
    <w:rsid w:val="00CA4E54"/>
    <w:rsid w:val="00CA5179"/>
    <w:rsid w:val="00CA5BCC"/>
    <w:rsid w:val="00CA5EEA"/>
    <w:rsid w:val="00CA6769"/>
    <w:rsid w:val="00CA7355"/>
    <w:rsid w:val="00CA75C0"/>
    <w:rsid w:val="00CB02F9"/>
    <w:rsid w:val="00CB0439"/>
    <w:rsid w:val="00CB2234"/>
    <w:rsid w:val="00CB2813"/>
    <w:rsid w:val="00CB2A1F"/>
    <w:rsid w:val="00CB3435"/>
    <w:rsid w:val="00CB352C"/>
    <w:rsid w:val="00CB5B80"/>
    <w:rsid w:val="00CB5BE1"/>
    <w:rsid w:val="00CB5BE8"/>
    <w:rsid w:val="00CB6219"/>
    <w:rsid w:val="00CB690E"/>
    <w:rsid w:val="00CB6D97"/>
    <w:rsid w:val="00CB7419"/>
    <w:rsid w:val="00CB7674"/>
    <w:rsid w:val="00CB78EF"/>
    <w:rsid w:val="00CB7D54"/>
    <w:rsid w:val="00CB7F70"/>
    <w:rsid w:val="00CC0317"/>
    <w:rsid w:val="00CC04BB"/>
    <w:rsid w:val="00CC0857"/>
    <w:rsid w:val="00CC0C4D"/>
    <w:rsid w:val="00CC0DBB"/>
    <w:rsid w:val="00CC0E8C"/>
    <w:rsid w:val="00CC1616"/>
    <w:rsid w:val="00CC2A3B"/>
    <w:rsid w:val="00CC2C68"/>
    <w:rsid w:val="00CC3891"/>
    <w:rsid w:val="00CC4682"/>
    <w:rsid w:val="00CC4D63"/>
    <w:rsid w:val="00CC4E60"/>
    <w:rsid w:val="00CC5886"/>
    <w:rsid w:val="00CC598B"/>
    <w:rsid w:val="00CC678C"/>
    <w:rsid w:val="00CC6D07"/>
    <w:rsid w:val="00CC7322"/>
    <w:rsid w:val="00CC794D"/>
    <w:rsid w:val="00CD04A1"/>
    <w:rsid w:val="00CD0B74"/>
    <w:rsid w:val="00CD0FA8"/>
    <w:rsid w:val="00CD18CC"/>
    <w:rsid w:val="00CD2348"/>
    <w:rsid w:val="00CD298A"/>
    <w:rsid w:val="00CD2EE2"/>
    <w:rsid w:val="00CD39A9"/>
    <w:rsid w:val="00CD4668"/>
    <w:rsid w:val="00CD498B"/>
    <w:rsid w:val="00CD5995"/>
    <w:rsid w:val="00CD5E32"/>
    <w:rsid w:val="00CD5E82"/>
    <w:rsid w:val="00CD5FDA"/>
    <w:rsid w:val="00CD64AD"/>
    <w:rsid w:val="00CD6C7C"/>
    <w:rsid w:val="00CD704A"/>
    <w:rsid w:val="00CD708F"/>
    <w:rsid w:val="00CD73CF"/>
    <w:rsid w:val="00CD7855"/>
    <w:rsid w:val="00CD7CEB"/>
    <w:rsid w:val="00CD7F34"/>
    <w:rsid w:val="00CE0141"/>
    <w:rsid w:val="00CE12C7"/>
    <w:rsid w:val="00CE1421"/>
    <w:rsid w:val="00CE249F"/>
    <w:rsid w:val="00CE344C"/>
    <w:rsid w:val="00CE3AD5"/>
    <w:rsid w:val="00CE3D54"/>
    <w:rsid w:val="00CE4039"/>
    <w:rsid w:val="00CE43D7"/>
    <w:rsid w:val="00CE45C0"/>
    <w:rsid w:val="00CE4D39"/>
    <w:rsid w:val="00CE5BFD"/>
    <w:rsid w:val="00CE641B"/>
    <w:rsid w:val="00CE6DA1"/>
    <w:rsid w:val="00CE705F"/>
    <w:rsid w:val="00CE7397"/>
    <w:rsid w:val="00CE76C8"/>
    <w:rsid w:val="00CE7B89"/>
    <w:rsid w:val="00CE7BE8"/>
    <w:rsid w:val="00CF0147"/>
    <w:rsid w:val="00CF0153"/>
    <w:rsid w:val="00CF0306"/>
    <w:rsid w:val="00CF03D3"/>
    <w:rsid w:val="00CF1733"/>
    <w:rsid w:val="00CF18FB"/>
    <w:rsid w:val="00CF1BDF"/>
    <w:rsid w:val="00CF294E"/>
    <w:rsid w:val="00CF2C62"/>
    <w:rsid w:val="00CF31AA"/>
    <w:rsid w:val="00CF3601"/>
    <w:rsid w:val="00CF3844"/>
    <w:rsid w:val="00CF3E58"/>
    <w:rsid w:val="00CF45B4"/>
    <w:rsid w:val="00CF4608"/>
    <w:rsid w:val="00CF481C"/>
    <w:rsid w:val="00CF4D21"/>
    <w:rsid w:val="00CF5C99"/>
    <w:rsid w:val="00CF6497"/>
    <w:rsid w:val="00CF653F"/>
    <w:rsid w:val="00CF658F"/>
    <w:rsid w:val="00CF6799"/>
    <w:rsid w:val="00CF6AAC"/>
    <w:rsid w:val="00CF7544"/>
    <w:rsid w:val="00CF78F2"/>
    <w:rsid w:val="00D00098"/>
    <w:rsid w:val="00D017A2"/>
    <w:rsid w:val="00D01984"/>
    <w:rsid w:val="00D01A43"/>
    <w:rsid w:val="00D01AB9"/>
    <w:rsid w:val="00D0300E"/>
    <w:rsid w:val="00D035F1"/>
    <w:rsid w:val="00D03DB2"/>
    <w:rsid w:val="00D040D5"/>
    <w:rsid w:val="00D04453"/>
    <w:rsid w:val="00D052EE"/>
    <w:rsid w:val="00D062B8"/>
    <w:rsid w:val="00D066C7"/>
    <w:rsid w:val="00D06971"/>
    <w:rsid w:val="00D074B0"/>
    <w:rsid w:val="00D0751A"/>
    <w:rsid w:val="00D07526"/>
    <w:rsid w:val="00D07766"/>
    <w:rsid w:val="00D07AD6"/>
    <w:rsid w:val="00D07D39"/>
    <w:rsid w:val="00D1079F"/>
    <w:rsid w:val="00D10A85"/>
    <w:rsid w:val="00D10F0D"/>
    <w:rsid w:val="00D11CC7"/>
    <w:rsid w:val="00D12A00"/>
    <w:rsid w:val="00D13BB1"/>
    <w:rsid w:val="00D13F93"/>
    <w:rsid w:val="00D14215"/>
    <w:rsid w:val="00D142D0"/>
    <w:rsid w:val="00D14478"/>
    <w:rsid w:val="00D14831"/>
    <w:rsid w:val="00D15255"/>
    <w:rsid w:val="00D152C9"/>
    <w:rsid w:val="00D15C70"/>
    <w:rsid w:val="00D15E05"/>
    <w:rsid w:val="00D1647F"/>
    <w:rsid w:val="00D17231"/>
    <w:rsid w:val="00D1795D"/>
    <w:rsid w:val="00D17E2F"/>
    <w:rsid w:val="00D20055"/>
    <w:rsid w:val="00D20583"/>
    <w:rsid w:val="00D20A88"/>
    <w:rsid w:val="00D222FC"/>
    <w:rsid w:val="00D22801"/>
    <w:rsid w:val="00D22B9C"/>
    <w:rsid w:val="00D23903"/>
    <w:rsid w:val="00D249BD"/>
    <w:rsid w:val="00D24A40"/>
    <w:rsid w:val="00D24CE6"/>
    <w:rsid w:val="00D2500D"/>
    <w:rsid w:val="00D25C8C"/>
    <w:rsid w:val="00D262E2"/>
    <w:rsid w:val="00D26FC5"/>
    <w:rsid w:val="00D2748B"/>
    <w:rsid w:val="00D2770D"/>
    <w:rsid w:val="00D304EB"/>
    <w:rsid w:val="00D308A1"/>
    <w:rsid w:val="00D31155"/>
    <w:rsid w:val="00D3127D"/>
    <w:rsid w:val="00D32462"/>
    <w:rsid w:val="00D32511"/>
    <w:rsid w:val="00D3331E"/>
    <w:rsid w:val="00D33792"/>
    <w:rsid w:val="00D338C3"/>
    <w:rsid w:val="00D34049"/>
    <w:rsid w:val="00D34291"/>
    <w:rsid w:val="00D344C6"/>
    <w:rsid w:val="00D351CD"/>
    <w:rsid w:val="00D3556E"/>
    <w:rsid w:val="00D35A66"/>
    <w:rsid w:val="00D35DFE"/>
    <w:rsid w:val="00D35E84"/>
    <w:rsid w:val="00D37281"/>
    <w:rsid w:val="00D37CE1"/>
    <w:rsid w:val="00D4064E"/>
    <w:rsid w:val="00D40D62"/>
    <w:rsid w:val="00D4168C"/>
    <w:rsid w:val="00D41EFE"/>
    <w:rsid w:val="00D41FF7"/>
    <w:rsid w:val="00D43D2E"/>
    <w:rsid w:val="00D443EB"/>
    <w:rsid w:val="00D44B72"/>
    <w:rsid w:val="00D45258"/>
    <w:rsid w:val="00D45578"/>
    <w:rsid w:val="00D456F3"/>
    <w:rsid w:val="00D462DC"/>
    <w:rsid w:val="00D4637B"/>
    <w:rsid w:val="00D46DEB"/>
    <w:rsid w:val="00D47AEB"/>
    <w:rsid w:val="00D5023C"/>
    <w:rsid w:val="00D50894"/>
    <w:rsid w:val="00D509B2"/>
    <w:rsid w:val="00D524FE"/>
    <w:rsid w:val="00D530C9"/>
    <w:rsid w:val="00D53829"/>
    <w:rsid w:val="00D53E93"/>
    <w:rsid w:val="00D540D0"/>
    <w:rsid w:val="00D54C5E"/>
    <w:rsid w:val="00D551AB"/>
    <w:rsid w:val="00D55669"/>
    <w:rsid w:val="00D55965"/>
    <w:rsid w:val="00D5600F"/>
    <w:rsid w:val="00D5770D"/>
    <w:rsid w:val="00D5781B"/>
    <w:rsid w:val="00D60D76"/>
    <w:rsid w:val="00D60E6E"/>
    <w:rsid w:val="00D60FEC"/>
    <w:rsid w:val="00D612EB"/>
    <w:rsid w:val="00D614FF"/>
    <w:rsid w:val="00D61AD3"/>
    <w:rsid w:val="00D6241F"/>
    <w:rsid w:val="00D62CF2"/>
    <w:rsid w:val="00D6369A"/>
    <w:rsid w:val="00D6376E"/>
    <w:rsid w:val="00D63D39"/>
    <w:rsid w:val="00D644F9"/>
    <w:rsid w:val="00D64848"/>
    <w:rsid w:val="00D66071"/>
    <w:rsid w:val="00D66402"/>
    <w:rsid w:val="00D66776"/>
    <w:rsid w:val="00D6747E"/>
    <w:rsid w:val="00D6776B"/>
    <w:rsid w:val="00D70089"/>
    <w:rsid w:val="00D702DB"/>
    <w:rsid w:val="00D708E6"/>
    <w:rsid w:val="00D711DE"/>
    <w:rsid w:val="00D713E7"/>
    <w:rsid w:val="00D7291E"/>
    <w:rsid w:val="00D72B9A"/>
    <w:rsid w:val="00D73424"/>
    <w:rsid w:val="00D743B0"/>
    <w:rsid w:val="00D74DBD"/>
    <w:rsid w:val="00D7529E"/>
    <w:rsid w:val="00D75497"/>
    <w:rsid w:val="00D75C13"/>
    <w:rsid w:val="00D76278"/>
    <w:rsid w:val="00D7692C"/>
    <w:rsid w:val="00D804A8"/>
    <w:rsid w:val="00D809E3"/>
    <w:rsid w:val="00D80CBA"/>
    <w:rsid w:val="00D816FA"/>
    <w:rsid w:val="00D81936"/>
    <w:rsid w:val="00D81A93"/>
    <w:rsid w:val="00D81FBE"/>
    <w:rsid w:val="00D82DEC"/>
    <w:rsid w:val="00D834CF"/>
    <w:rsid w:val="00D83D42"/>
    <w:rsid w:val="00D83EAD"/>
    <w:rsid w:val="00D84013"/>
    <w:rsid w:val="00D846B4"/>
    <w:rsid w:val="00D84E73"/>
    <w:rsid w:val="00D86701"/>
    <w:rsid w:val="00D8680F"/>
    <w:rsid w:val="00D86D36"/>
    <w:rsid w:val="00D87319"/>
    <w:rsid w:val="00D87A55"/>
    <w:rsid w:val="00D87EA6"/>
    <w:rsid w:val="00D92221"/>
    <w:rsid w:val="00D92D35"/>
    <w:rsid w:val="00D9310C"/>
    <w:rsid w:val="00D94D70"/>
    <w:rsid w:val="00D952DF"/>
    <w:rsid w:val="00D95BCB"/>
    <w:rsid w:val="00D95D9D"/>
    <w:rsid w:val="00D967A3"/>
    <w:rsid w:val="00D97530"/>
    <w:rsid w:val="00DA0428"/>
    <w:rsid w:val="00DA07E6"/>
    <w:rsid w:val="00DA1025"/>
    <w:rsid w:val="00DA21F9"/>
    <w:rsid w:val="00DA2339"/>
    <w:rsid w:val="00DA33EC"/>
    <w:rsid w:val="00DA36C6"/>
    <w:rsid w:val="00DA3C53"/>
    <w:rsid w:val="00DA429B"/>
    <w:rsid w:val="00DA44AB"/>
    <w:rsid w:val="00DA4E1F"/>
    <w:rsid w:val="00DA5D6A"/>
    <w:rsid w:val="00DA5DA4"/>
    <w:rsid w:val="00DA5DD6"/>
    <w:rsid w:val="00DA5DE8"/>
    <w:rsid w:val="00DA6B6D"/>
    <w:rsid w:val="00DA6C54"/>
    <w:rsid w:val="00DA7202"/>
    <w:rsid w:val="00DA735D"/>
    <w:rsid w:val="00DA76EC"/>
    <w:rsid w:val="00DA77F8"/>
    <w:rsid w:val="00DA7A8C"/>
    <w:rsid w:val="00DA7E86"/>
    <w:rsid w:val="00DB049E"/>
    <w:rsid w:val="00DB0530"/>
    <w:rsid w:val="00DB0D37"/>
    <w:rsid w:val="00DB1602"/>
    <w:rsid w:val="00DB22D3"/>
    <w:rsid w:val="00DB348D"/>
    <w:rsid w:val="00DB425B"/>
    <w:rsid w:val="00DB4B4C"/>
    <w:rsid w:val="00DB5422"/>
    <w:rsid w:val="00DB6F33"/>
    <w:rsid w:val="00DB7ED4"/>
    <w:rsid w:val="00DC00AA"/>
    <w:rsid w:val="00DC0105"/>
    <w:rsid w:val="00DC058C"/>
    <w:rsid w:val="00DC09DE"/>
    <w:rsid w:val="00DC0FD2"/>
    <w:rsid w:val="00DC10C5"/>
    <w:rsid w:val="00DC1C8D"/>
    <w:rsid w:val="00DC280F"/>
    <w:rsid w:val="00DC3D58"/>
    <w:rsid w:val="00DC475E"/>
    <w:rsid w:val="00DC485A"/>
    <w:rsid w:val="00DC48AE"/>
    <w:rsid w:val="00DC4AF0"/>
    <w:rsid w:val="00DC51C0"/>
    <w:rsid w:val="00DC570C"/>
    <w:rsid w:val="00DC5B91"/>
    <w:rsid w:val="00DC5F1E"/>
    <w:rsid w:val="00DC5FD4"/>
    <w:rsid w:val="00DC6260"/>
    <w:rsid w:val="00DC62FE"/>
    <w:rsid w:val="00DC651D"/>
    <w:rsid w:val="00DC6B26"/>
    <w:rsid w:val="00DC6EFC"/>
    <w:rsid w:val="00DC79CD"/>
    <w:rsid w:val="00DD023B"/>
    <w:rsid w:val="00DD187B"/>
    <w:rsid w:val="00DD2CE9"/>
    <w:rsid w:val="00DD2F41"/>
    <w:rsid w:val="00DD3585"/>
    <w:rsid w:val="00DD4472"/>
    <w:rsid w:val="00DD450B"/>
    <w:rsid w:val="00DD4903"/>
    <w:rsid w:val="00DD4EDA"/>
    <w:rsid w:val="00DD5424"/>
    <w:rsid w:val="00DD6915"/>
    <w:rsid w:val="00DD7416"/>
    <w:rsid w:val="00DD7BFA"/>
    <w:rsid w:val="00DD7C5E"/>
    <w:rsid w:val="00DD7E4A"/>
    <w:rsid w:val="00DE0BB9"/>
    <w:rsid w:val="00DE0C0D"/>
    <w:rsid w:val="00DE1311"/>
    <w:rsid w:val="00DE1EA4"/>
    <w:rsid w:val="00DE2FF8"/>
    <w:rsid w:val="00DE380A"/>
    <w:rsid w:val="00DE451B"/>
    <w:rsid w:val="00DE46BD"/>
    <w:rsid w:val="00DE52CD"/>
    <w:rsid w:val="00DE5B22"/>
    <w:rsid w:val="00DE698D"/>
    <w:rsid w:val="00DE70F3"/>
    <w:rsid w:val="00DF08D6"/>
    <w:rsid w:val="00DF0BCB"/>
    <w:rsid w:val="00DF1018"/>
    <w:rsid w:val="00DF12E1"/>
    <w:rsid w:val="00DF1E7A"/>
    <w:rsid w:val="00DF22F9"/>
    <w:rsid w:val="00DF23F3"/>
    <w:rsid w:val="00DF29B9"/>
    <w:rsid w:val="00DF3339"/>
    <w:rsid w:val="00DF39A5"/>
    <w:rsid w:val="00DF3C9B"/>
    <w:rsid w:val="00DF3E10"/>
    <w:rsid w:val="00DF3EC8"/>
    <w:rsid w:val="00DF47E1"/>
    <w:rsid w:val="00DF4E15"/>
    <w:rsid w:val="00DF4EE4"/>
    <w:rsid w:val="00DF57DF"/>
    <w:rsid w:val="00DF5949"/>
    <w:rsid w:val="00DF5E04"/>
    <w:rsid w:val="00DF63EB"/>
    <w:rsid w:val="00DF6F53"/>
    <w:rsid w:val="00DF75D5"/>
    <w:rsid w:val="00DF7623"/>
    <w:rsid w:val="00E001B6"/>
    <w:rsid w:val="00E001BA"/>
    <w:rsid w:val="00E00796"/>
    <w:rsid w:val="00E008FF"/>
    <w:rsid w:val="00E00D3D"/>
    <w:rsid w:val="00E00EB1"/>
    <w:rsid w:val="00E0102E"/>
    <w:rsid w:val="00E01730"/>
    <w:rsid w:val="00E018AA"/>
    <w:rsid w:val="00E01985"/>
    <w:rsid w:val="00E024FE"/>
    <w:rsid w:val="00E02A36"/>
    <w:rsid w:val="00E03E17"/>
    <w:rsid w:val="00E03E9F"/>
    <w:rsid w:val="00E05E73"/>
    <w:rsid w:val="00E0721C"/>
    <w:rsid w:val="00E07550"/>
    <w:rsid w:val="00E07975"/>
    <w:rsid w:val="00E10F72"/>
    <w:rsid w:val="00E1107A"/>
    <w:rsid w:val="00E11CBF"/>
    <w:rsid w:val="00E121B8"/>
    <w:rsid w:val="00E12FB7"/>
    <w:rsid w:val="00E13AD2"/>
    <w:rsid w:val="00E13EA8"/>
    <w:rsid w:val="00E1489B"/>
    <w:rsid w:val="00E14909"/>
    <w:rsid w:val="00E14BD8"/>
    <w:rsid w:val="00E14E3C"/>
    <w:rsid w:val="00E154EE"/>
    <w:rsid w:val="00E15ACC"/>
    <w:rsid w:val="00E16011"/>
    <w:rsid w:val="00E163DD"/>
    <w:rsid w:val="00E16A74"/>
    <w:rsid w:val="00E17814"/>
    <w:rsid w:val="00E179FB"/>
    <w:rsid w:val="00E208E7"/>
    <w:rsid w:val="00E2098C"/>
    <w:rsid w:val="00E20EF5"/>
    <w:rsid w:val="00E21085"/>
    <w:rsid w:val="00E223D2"/>
    <w:rsid w:val="00E237CB"/>
    <w:rsid w:val="00E24AE7"/>
    <w:rsid w:val="00E25302"/>
    <w:rsid w:val="00E25C63"/>
    <w:rsid w:val="00E2601D"/>
    <w:rsid w:val="00E261AA"/>
    <w:rsid w:val="00E27176"/>
    <w:rsid w:val="00E27906"/>
    <w:rsid w:val="00E30034"/>
    <w:rsid w:val="00E3052F"/>
    <w:rsid w:val="00E30593"/>
    <w:rsid w:val="00E307F0"/>
    <w:rsid w:val="00E30808"/>
    <w:rsid w:val="00E31425"/>
    <w:rsid w:val="00E31A4F"/>
    <w:rsid w:val="00E31BD7"/>
    <w:rsid w:val="00E32584"/>
    <w:rsid w:val="00E3290F"/>
    <w:rsid w:val="00E32D1D"/>
    <w:rsid w:val="00E32D39"/>
    <w:rsid w:val="00E32F26"/>
    <w:rsid w:val="00E336D6"/>
    <w:rsid w:val="00E340C1"/>
    <w:rsid w:val="00E34AA9"/>
    <w:rsid w:val="00E34AB0"/>
    <w:rsid w:val="00E351BD"/>
    <w:rsid w:val="00E36854"/>
    <w:rsid w:val="00E36AA1"/>
    <w:rsid w:val="00E36EFB"/>
    <w:rsid w:val="00E37BE6"/>
    <w:rsid w:val="00E37DFD"/>
    <w:rsid w:val="00E40CF9"/>
    <w:rsid w:val="00E4110D"/>
    <w:rsid w:val="00E41A0F"/>
    <w:rsid w:val="00E42431"/>
    <w:rsid w:val="00E4287F"/>
    <w:rsid w:val="00E432A5"/>
    <w:rsid w:val="00E44134"/>
    <w:rsid w:val="00E44DFD"/>
    <w:rsid w:val="00E44E4B"/>
    <w:rsid w:val="00E45A05"/>
    <w:rsid w:val="00E462E5"/>
    <w:rsid w:val="00E465EA"/>
    <w:rsid w:val="00E46F20"/>
    <w:rsid w:val="00E471C2"/>
    <w:rsid w:val="00E47E5C"/>
    <w:rsid w:val="00E50C80"/>
    <w:rsid w:val="00E5131B"/>
    <w:rsid w:val="00E51828"/>
    <w:rsid w:val="00E51AD2"/>
    <w:rsid w:val="00E53A5A"/>
    <w:rsid w:val="00E53B53"/>
    <w:rsid w:val="00E53FF7"/>
    <w:rsid w:val="00E541C4"/>
    <w:rsid w:val="00E54602"/>
    <w:rsid w:val="00E54B89"/>
    <w:rsid w:val="00E552A7"/>
    <w:rsid w:val="00E5537A"/>
    <w:rsid w:val="00E5552A"/>
    <w:rsid w:val="00E56564"/>
    <w:rsid w:val="00E5751C"/>
    <w:rsid w:val="00E57E1F"/>
    <w:rsid w:val="00E600CD"/>
    <w:rsid w:val="00E60BC4"/>
    <w:rsid w:val="00E60F89"/>
    <w:rsid w:val="00E6103D"/>
    <w:rsid w:val="00E616E5"/>
    <w:rsid w:val="00E61777"/>
    <w:rsid w:val="00E62AF4"/>
    <w:rsid w:val="00E62E12"/>
    <w:rsid w:val="00E63189"/>
    <w:rsid w:val="00E6476F"/>
    <w:rsid w:val="00E64CC6"/>
    <w:rsid w:val="00E664F1"/>
    <w:rsid w:val="00E66A2F"/>
    <w:rsid w:val="00E67379"/>
    <w:rsid w:val="00E70C75"/>
    <w:rsid w:val="00E71083"/>
    <w:rsid w:val="00E72E70"/>
    <w:rsid w:val="00E72F46"/>
    <w:rsid w:val="00E73C34"/>
    <w:rsid w:val="00E74EBC"/>
    <w:rsid w:val="00E7670B"/>
    <w:rsid w:val="00E76F0F"/>
    <w:rsid w:val="00E77BA5"/>
    <w:rsid w:val="00E8004C"/>
    <w:rsid w:val="00E80E7A"/>
    <w:rsid w:val="00E80E9C"/>
    <w:rsid w:val="00E80F3B"/>
    <w:rsid w:val="00E824DD"/>
    <w:rsid w:val="00E8336F"/>
    <w:rsid w:val="00E83590"/>
    <w:rsid w:val="00E83655"/>
    <w:rsid w:val="00E83976"/>
    <w:rsid w:val="00E83E46"/>
    <w:rsid w:val="00E83F2B"/>
    <w:rsid w:val="00E84247"/>
    <w:rsid w:val="00E8470D"/>
    <w:rsid w:val="00E84B76"/>
    <w:rsid w:val="00E84B80"/>
    <w:rsid w:val="00E84D5C"/>
    <w:rsid w:val="00E84EA4"/>
    <w:rsid w:val="00E851FF"/>
    <w:rsid w:val="00E86478"/>
    <w:rsid w:val="00E86B74"/>
    <w:rsid w:val="00E8723D"/>
    <w:rsid w:val="00E87398"/>
    <w:rsid w:val="00E87483"/>
    <w:rsid w:val="00E87905"/>
    <w:rsid w:val="00E87AC0"/>
    <w:rsid w:val="00E87C41"/>
    <w:rsid w:val="00E9099A"/>
    <w:rsid w:val="00E90E13"/>
    <w:rsid w:val="00E91189"/>
    <w:rsid w:val="00E9169B"/>
    <w:rsid w:val="00E9178D"/>
    <w:rsid w:val="00E91C02"/>
    <w:rsid w:val="00E91CC1"/>
    <w:rsid w:val="00E91F1A"/>
    <w:rsid w:val="00E92DC4"/>
    <w:rsid w:val="00E93430"/>
    <w:rsid w:val="00E93D5C"/>
    <w:rsid w:val="00E94164"/>
    <w:rsid w:val="00E94540"/>
    <w:rsid w:val="00E969BF"/>
    <w:rsid w:val="00E97C35"/>
    <w:rsid w:val="00EA0670"/>
    <w:rsid w:val="00EA22E0"/>
    <w:rsid w:val="00EA24EE"/>
    <w:rsid w:val="00EA2F9F"/>
    <w:rsid w:val="00EA3935"/>
    <w:rsid w:val="00EA39CF"/>
    <w:rsid w:val="00EA39F6"/>
    <w:rsid w:val="00EA3E03"/>
    <w:rsid w:val="00EA3FED"/>
    <w:rsid w:val="00EA42B4"/>
    <w:rsid w:val="00EA4663"/>
    <w:rsid w:val="00EA46F4"/>
    <w:rsid w:val="00EA4C43"/>
    <w:rsid w:val="00EA5475"/>
    <w:rsid w:val="00EA62BB"/>
    <w:rsid w:val="00EA6354"/>
    <w:rsid w:val="00EA66AF"/>
    <w:rsid w:val="00EA6A50"/>
    <w:rsid w:val="00EA7844"/>
    <w:rsid w:val="00EB021C"/>
    <w:rsid w:val="00EB19D7"/>
    <w:rsid w:val="00EB3519"/>
    <w:rsid w:val="00EB3A5A"/>
    <w:rsid w:val="00EB3B15"/>
    <w:rsid w:val="00EB4179"/>
    <w:rsid w:val="00EB573A"/>
    <w:rsid w:val="00EB58C7"/>
    <w:rsid w:val="00EB5BAB"/>
    <w:rsid w:val="00EB6155"/>
    <w:rsid w:val="00EB69DE"/>
    <w:rsid w:val="00EB6B9A"/>
    <w:rsid w:val="00EB7268"/>
    <w:rsid w:val="00EB7721"/>
    <w:rsid w:val="00EB7A4D"/>
    <w:rsid w:val="00EB7F4B"/>
    <w:rsid w:val="00EC06B7"/>
    <w:rsid w:val="00EC082B"/>
    <w:rsid w:val="00EC0E58"/>
    <w:rsid w:val="00EC1700"/>
    <w:rsid w:val="00EC1D30"/>
    <w:rsid w:val="00EC2DEF"/>
    <w:rsid w:val="00EC3356"/>
    <w:rsid w:val="00EC38D9"/>
    <w:rsid w:val="00EC3BCE"/>
    <w:rsid w:val="00EC3F07"/>
    <w:rsid w:val="00EC4268"/>
    <w:rsid w:val="00EC4870"/>
    <w:rsid w:val="00EC5C93"/>
    <w:rsid w:val="00EC5D27"/>
    <w:rsid w:val="00EC635D"/>
    <w:rsid w:val="00EC68DA"/>
    <w:rsid w:val="00EC6C46"/>
    <w:rsid w:val="00EC77E9"/>
    <w:rsid w:val="00EC79E1"/>
    <w:rsid w:val="00EC7B8A"/>
    <w:rsid w:val="00ED0A3C"/>
    <w:rsid w:val="00ED127B"/>
    <w:rsid w:val="00ED1303"/>
    <w:rsid w:val="00ED185B"/>
    <w:rsid w:val="00ED1E97"/>
    <w:rsid w:val="00ED23C6"/>
    <w:rsid w:val="00ED249F"/>
    <w:rsid w:val="00ED2944"/>
    <w:rsid w:val="00ED553F"/>
    <w:rsid w:val="00ED55F5"/>
    <w:rsid w:val="00ED56F9"/>
    <w:rsid w:val="00ED588E"/>
    <w:rsid w:val="00ED6B74"/>
    <w:rsid w:val="00ED70B6"/>
    <w:rsid w:val="00EE0762"/>
    <w:rsid w:val="00EE0BBC"/>
    <w:rsid w:val="00EE0DC0"/>
    <w:rsid w:val="00EE1FB5"/>
    <w:rsid w:val="00EE3434"/>
    <w:rsid w:val="00EE3640"/>
    <w:rsid w:val="00EE4244"/>
    <w:rsid w:val="00EE4D63"/>
    <w:rsid w:val="00EE5EB8"/>
    <w:rsid w:val="00EE602F"/>
    <w:rsid w:val="00EE7458"/>
    <w:rsid w:val="00EE7B2E"/>
    <w:rsid w:val="00EE7E53"/>
    <w:rsid w:val="00EF01C9"/>
    <w:rsid w:val="00EF0842"/>
    <w:rsid w:val="00EF0B28"/>
    <w:rsid w:val="00EF0D4D"/>
    <w:rsid w:val="00EF1C19"/>
    <w:rsid w:val="00EF2361"/>
    <w:rsid w:val="00EF2876"/>
    <w:rsid w:val="00EF2896"/>
    <w:rsid w:val="00EF3023"/>
    <w:rsid w:val="00EF3558"/>
    <w:rsid w:val="00EF372E"/>
    <w:rsid w:val="00EF5055"/>
    <w:rsid w:val="00EF6899"/>
    <w:rsid w:val="00EF6A30"/>
    <w:rsid w:val="00EF6E34"/>
    <w:rsid w:val="00EF7A1D"/>
    <w:rsid w:val="00F021FF"/>
    <w:rsid w:val="00F0225B"/>
    <w:rsid w:val="00F02468"/>
    <w:rsid w:val="00F02513"/>
    <w:rsid w:val="00F025B2"/>
    <w:rsid w:val="00F025EF"/>
    <w:rsid w:val="00F028F0"/>
    <w:rsid w:val="00F036E7"/>
    <w:rsid w:val="00F0372C"/>
    <w:rsid w:val="00F037AE"/>
    <w:rsid w:val="00F043D9"/>
    <w:rsid w:val="00F04A39"/>
    <w:rsid w:val="00F059D4"/>
    <w:rsid w:val="00F068DE"/>
    <w:rsid w:val="00F072F3"/>
    <w:rsid w:val="00F105AE"/>
    <w:rsid w:val="00F10A9D"/>
    <w:rsid w:val="00F1104F"/>
    <w:rsid w:val="00F119A9"/>
    <w:rsid w:val="00F11BF1"/>
    <w:rsid w:val="00F11E4A"/>
    <w:rsid w:val="00F12CE8"/>
    <w:rsid w:val="00F13DF8"/>
    <w:rsid w:val="00F14D77"/>
    <w:rsid w:val="00F15F0D"/>
    <w:rsid w:val="00F17002"/>
    <w:rsid w:val="00F1778A"/>
    <w:rsid w:val="00F178E6"/>
    <w:rsid w:val="00F20012"/>
    <w:rsid w:val="00F21837"/>
    <w:rsid w:val="00F227EE"/>
    <w:rsid w:val="00F22E99"/>
    <w:rsid w:val="00F24265"/>
    <w:rsid w:val="00F256D3"/>
    <w:rsid w:val="00F26B01"/>
    <w:rsid w:val="00F27210"/>
    <w:rsid w:val="00F277B9"/>
    <w:rsid w:val="00F27B97"/>
    <w:rsid w:val="00F30B27"/>
    <w:rsid w:val="00F30C40"/>
    <w:rsid w:val="00F30E84"/>
    <w:rsid w:val="00F311E3"/>
    <w:rsid w:val="00F312C7"/>
    <w:rsid w:val="00F31B4D"/>
    <w:rsid w:val="00F326C0"/>
    <w:rsid w:val="00F32C13"/>
    <w:rsid w:val="00F32D6F"/>
    <w:rsid w:val="00F33522"/>
    <w:rsid w:val="00F33575"/>
    <w:rsid w:val="00F347D5"/>
    <w:rsid w:val="00F34E6D"/>
    <w:rsid w:val="00F35CF7"/>
    <w:rsid w:val="00F35F37"/>
    <w:rsid w:val="00F370A3"/>
    <w:rsid w:val="00F37428"/>
    <w:rsid w:val="00F379AC"/>
    <w:rsid w:val="00F418CA"/>
    <w:rsid w:val="00F42056"/>
    <w:rsid w:val="00F435A2"/>
    <w:rsid w:val="00F439C1"/>
    <w:rsid w:val="00F43BE2"/>
    <w:rsid w:val="00F44865"/>
    <w:rsid w:val="00F44BD8"/>
    <w:rsid w:val="00F45DD2"/>
    <w:rsid w:val="00F46B6C"/>
    <w:rsid w:val="00F46C33"/>
    <w:rsid w:val="00F47B94"/>
    <w:rsid w:val="00F50657"/>
    <w:rsid w:val="00F508CF"/>
    <w:rsid w:val="00F519F9"/>
    <w:rsid w:val="00F53914"/>
    <w:rsid w:val="00F5415D"/>
    <w:rsid w:val="00F54D48"/>
    <w:rsid w:val="00F55414"/>
    <w:rsid w:val="00F561C3"/>
    <w:rsid w:val="00F56468"/>
    <w:rsid w:val="00F56532"/>
    <w:rsid w:val="00F565E3"/>
    <w:rsid w:val="00F56CF1"/>
    <w:rsid w:val="00F56F3C"/>
    <w:rsid w:val="00F56F81"/>
    <w:rsid w:val="00F572C8"/>
    <w:rsid w:val="00F574F6"/>
    <w:rsid w:val="00F578DD"/>
    <w:rsid w:val="00F609B9"/>
    <w:rsid w:val="00F613CD"/>
    <w:rsid w:val="00F624F7"/>
    <w:rsid w:val="00F6299F"/>
    <w:rsid w:val="00F62EBE"/>
    <w:rsid w:val="00F632C0"/>
    <w:rsid w:val="00F63D62"/>
    <w:rsid w:val="00F63F67"/>
    <w:rsid w:val="00F647D5"/>
    <w:rsid w:val="00F659D4"/>
    <w:rsid w:val="00F6657B"/>
    <w:rsid w:val="00F66742"/>
    <w:rsid w:val="00F66C8E"/>
    <w:rsid w:val="00F66E73"/>
    <w:rsid w:val="00F66EDE"/>
    <w:rsid w:val="00F673F9"/>
    <w:rsid w:val="00F67A01"/>
    <w:rsid w:val="00F7084B"/>
    <w:rsid w:val="00F70917"/>
    <w:rsid w:val="00F709D1"/>
    <w:rsid w:val="00F718E7"/>
    <w:rsid w:val="00F719C4"/>
    <w:rsid w:val="00F71BBD"/>
    <w:rsid w:val="00F720A3"/>
    <w:rsid w:val="00F72393"/>
    <w:rsid w:val="00F72632"/>
    <w:rsid w:val="00F72B81"/>
    <w:rsid w:val="00F73501"/>
    <w:rsid w:val="00F73C3A"/>
    <w:rsid w:val="00F74BD4"/>
    <w:rsid w:val="00F74CEB"/>
    <w:rsid w:val="00F74DA9"/>
    <w:rsid w:val="00F74FD8"/>
    <w:rsid w:val="00F763AE"/>
    <w:rsid w:val="00F76D99"/>
    <w:rsid w:val="00F7778D"/>
    <w:rsid w:val="00F77899"/>
    <w:rsid w:val="00F80263"/>
    <w:rsid w:val="00F80523"/>
    <w:rsid w:val="00F80C9A"/>
    <w:rsid w:val="00F813EB"/>
    <w:rsid w:val="00F8150B"/>
    <w:rsid w:val="00F81BDA"/>
    <w:rsid w:val="00F822B4"/>
    <w:rsid w:val="00F82F87"/>
    <w:rsid w:val="00F838A6"/>
    <w:rsid w:val="00F83AF6"/>
    <w:rsid w:val="00F84360"/>
    <w:rsid w:val="00F84BCB"/>
    <w:rsid w:val="00F85300"/>
    <w:rsid w:val="00F85781"/>
    <w:rsid w:val="00F85799"/>
    <w:rsid w:val="00F857B6"/>
    <w:rsid w:val="00F86761"/>
    <w:rsid w:val="00F86AA8"/>
    <w:rsid w:val="00F86AEF"/>
    <w:rsid w:val="00F918F0"/>
    <w:rsid w:val="00F91B61"/>
    <w:rsid w:val="00F91BEE"/>
    <w:rsid w:val="00F92262"/>
    <w:rsid w:val="00F9277D"/>
    <w:rsid w:val="00F92C94"/>
    <w:rsid w:val="00F92E7D"/>
    <w:rsid w:val="00F931A0"/>
    <w:rsid w:val="00F93760"/>
    <w:rsid w:val="00F9393F"/>
    <w:rsid w:val="00F9401C"/>
    <w:rsid w:val="00F94447"/>
    <w:rsid w:val="00F94BDC"/>
    <w:rsid w:val="00F95650"/>
    <w:rsid w:val="00F95A2B"/>
    <w:rsid w:val="00F960F2"/>
    <w:rsid w:val="00F9660A"/>
    <w:rsid w:val="00F9720A"/>
    <w:rsid w:val="00F97C7B"/>
    <w:rsid w:val="00FA14DE"/>
    <w:rsid w:val="00FA1748"/>
    <w:rsid w:val="00FA1A1F"/>
    <w:rsid w:val="00FA1A82"/>
    <w:rsid w:val="00FA208F"/>
    <w:rsid w:val="00FA2324"/>
    <w:rsid w:val="00FA26A4"/>
    <w:rsid w:val="00FA3145"/>
    <w:rsid w:val="00FA3472"/>
    <w:rsid w:val="00FA36E9"/>
    <w:rsid w:val="00FA388D"/>
    <w:rsid w:val="00FA3D53"/>
    <w:rsid w:val="00FA402B"/>
    <w:rsid w:val="00FA6BEE"/>
    <w:rsid w:val="00FA7A2B"/>
    <w:rsid w:val="00FB0722"/>
    <w:rsid w:val="00FB0AEB"/>
    <w:rsid w:val="00FB0B15"/>
    <w:rsid w:val="00FB1753"/>
    <w:rsid w:val="00FB187B"/>
    <w:rsid w:val="00FB1ABE"/>
    <w:rsid w:val="00FB205D"/>
    <w:rsid w:val="00FB26E7"/>
    <w:rsid w:val="00FB2B47"/>
    <w:rsid w:val="00FB2B83"/>
    <w:rsid w:val="00FB307F"/>
    <w:rsid w:val="00FB32B1"/>
    <w:rsid w:val="00FB42DC"/>
    <w:rsid w:val="00FB4486"/>
    <w:rsid w:val="00FB5E76"/>
    <w:rsid w:val="00FB6773"/>
    <w:rsid w:val="00FB7E18"/>
    <w:rsid w:val="00FC02FE"/>
    <w:rsid w:val="00FC150B"/>
    <w:rsid w:val="00FC1A61"/>
    <w:rsid w:val="00FC1CE8"/>
    <w:rsid w:val="00FC2D62"/>
    <w:rsid w:val="00FC45D8"/>
    <w:rsid w:val="00FC51E4"/>
    <w:rsid w:val="00FC5406"/>
    <w:rsid w:val="00FC55F2"/>
    <w:rsid w:val="00FC5804"/>
    <w:rsid w:val="00FC5DB2"/>
    <w:rsid w:val="00FC6365"/>
    <w:rsid w:val="00FC6AF4"/>
    <w:rsid w:val="00FC6D7B"/>
    <w:rsid w:val="00FC730F"/>
    <w:rsid w:val="00FC7850"/>
    <w:rsid w:val="00FC7B5B"/>
    <w:rsid w:val="00FC7F42"/>
    <w:rsid w:val="00FD0048"/>
    <w:rsid w:val="00FD012A"/>
    <w:rsid w:val="00FD0449"/>
    <w:rsid w:val="00FD0CBF"/>
    <w:rsid w:val="00FD1766"/>
    <w:rsid w:val="00FD1B05"/>
    <w:rsid w:val="00FD1D4A"/>
    <w:rsid w:val="00FD2091"/>
    <w:rsid w:val="00FD2694"/>
    <w:rsid w:val="00FD2785"/>
    <w:rsid w:val="00FD3288"/>
    <w:rsid w:val="00FD5806"/>
    <w:rsid w:val="00FD5B20"/>
    <w:rsid w:val="00FD6BCA"/>
    <w:rsid w:val="00FD6F78"/>
    <w:rsid w:val="00FD6FE1"/>
    <w:rsid w:val="00FD7AF1"/>
    <w:rsid w:val="00FE00BF"/>
    <w:rsid w:val="00FE0206"/>
    <w:rsid w:val="00FE0F1C"/>
    <w:rsid w:val="00FE11D1"/>
    <w:rsid w:val="00FE2980"/>
    <w:rsid w:val="00FE34D1"/>
    <w:rsid w:val="00FE3E1B"/>
    <w:rsid w:val="00FE3E61"/>
    <w:rsid w:val="00FE5229"/>
    <w:rsid w:val="00FE5C18"/>
    <w:rsid w:val="00FE5EE3"/>
    <w:rsid w:val="00FE6037"/>
    <w:rsid w:val="00FE68F6"/>
    <w:rsid w:val="00FE6910"/>
    <w:rsid w:val="00FE6C5A"/>
    <w:rsid w:val="00FE6CA8"/>
    <w:rsid w:val="00FF02A3"/>
    <w:rsid w:val="00FF0975"/>
    <w:rsid w:val="00FF0ECD"/>
    <w:rsid w:val="00FF0FF9"/>
    <w:rsid w:val="00FF1DDE"/>
    <w:rsid w:val="00FF29F7"/>
    <w:rsid w:val="00FF2A3E"/>
    <w:rsid w:val="00FF383E"/>
    <w:rsid w:val="00FF38EC"/>
    <w:rsid w:val="00FF3939"/>
    <w:rsid w:val="00FF3D35"/>
    <w:rsid w:val="00FF45FE"/>
    <w:rsid w:val="00FF506A"/>
    <w:rsid w:val="00FF565C"/>
    <w:rsid w:val="00FF616A"/>
    <w:rsid w:val="00FF68E4"/>
    <w:rsid w:val="00FF6F0B"/>
    <w:rsid w:val="00FF75A3"/>
    <w:rsid w:val="00FF7C2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103DD9"/>
  <w15:docId w15:val="{FA7FD5D0-4067-4B78-A4CF-ECF978CBC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7"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1"/>
    <w:lsdException w:name="Light Grid Accent 1" w:uiPriority="67"/>
    <w:lsdException w:name="Medium Shading 1 Accent 1" w:uiPriority="68"/>
    <w:lsdException w:name="Medium Shading 2 Accent 1" w:uiPriority="69"/>
    <w:lsdException w:name="Medium List 1 Accent 1" w:uiPriority="70"/>
    <w:lsdException w:name="List Paragraph" w:uiPriority="35"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032F"/>
    <w:pPr>
      <w:spacing w:before="200" w:after="200" w:line="276" w:lineRule="auto"/>
      <w:jc w:val="both"/>
    </w:pPr>
    <w:rPr>
      <w:spacing w:val="4"/>
      <w:sz w:val="22"/>
      <w:lang w:val="cs-CZ" w:bidi="en-US"/>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link w:val="Nadpis1Char"/>
    <w:qFormat/>
    <w:rsid w:val="00D74DBD"/>
    <w:pPr>
      <w:numPr>
        <w:numId w:val="19"/>
      </w:numPr>
      <w:pBdr>
        <w:top w:val="single" w:sz="36" w:space="0" w:color="372C74"/>
        <w:left w:val="single" w:sz="36" w:space="4" w:color="372C74"/>
      </w:pBdr>
      <w:shd w:val="clear" w:color="auto" w:fill="FFFFFF"/>
      <w:spacing w:before="300" w:after="480"/>
      <w:outlineLvl w:val="0"/>
    </w:pPr>
    <w:rPr>
      <w:b/>
      <w:bCs/>
      <w:color w:val="372C74"/>
      <w:spacing w:val="20"/>
      <w:sz w:val="28"/>
      <w:szCs w:val="22"/>
    </w:rPr>
  </w:style>
  <w:style w:type="paragraph" w:styleId="Nadpis2">
    <w:name w:val="heading 2"/>
    <w:aliases w:val="Char,Nadpis2,Numbered - 2"/>
    <w:basedOn w:val="Normln"/>
    <w:next w:val="Normln"/>
    <w:link w:val="Nadpis2Char"/>
    <w:uiPriority w:val="9"/>
    <w:unhideWhenUsed/>
    <w:qFormat/>
    <w:rsid w:val="000412C2"/>
    <w:pPr>
      <w:numPr>
        <w:ilvl w:val="1"/>
        <w:numId w:val="19"/>
      </w:numPr>
      <w:pBdr>
        <w:top w:val="single" w:sz="18" w:space="0" w:color="D0CCEB"/>
        <w:left w:val="single" w:sz="18" w:space="0" w:color="D0CCEB"/>
      </w:pBdr>
      <w:shd w:val="clear" w:color="auto" w:fill="FFFFFF"/>
      <w:spacing w:before="300" w:after="300"/>
      <w:outlineLvl w:val="1"/>
    </w:pPr>
    <w:rPr>
      <w:b/>
      <w:color w:val="372C74"/>
      <w:spacing w:val="20"/>
      <w:sz w:val="26"/>
      <w:szCs w:val="22"/>
    </w:rPr>
  </w:style>
  <w:style w:type="paragraph" w:styleId="Nadpis3">
    <w:name w:val="heading 3"/>
    <w:aliases w:val="H3,Podpodkapitola,adpis 3,Numbered - 3"/>
    <w:basedOn w:val="Normln"/>
    <w:next w:val="Normln"/>
    <w:link w:val="Nadpis3Char"/>
    <w:uiPriority w:val="7"/>
    <w:unhideWhenUsed/>
    <w:qFormat/>
    <w:rsid w:val="000412C2"/>
    <w:pPr>
      <w:numPr>
        <w:ilvl w:val="2"/>
        <w:numId w:val="19"/>
      </w:numPr>
      <w:pBdr>
        <w:top w:val="single" w:sz="6" w:space="2" w:color="372C74"/>
        <w:left w:val="single" w:sz="6" w:space="2" w:color="372C74"/>
      </w:pBdr>
      <w:spacing w:before="240" w:after="240"/>
      <w:outlineLvl w:val="2"/>
    </w:pPr>
    <w:rPr>
      <w:color w:val="1B1639"/>
      <w:spacing w:val="15"/>
      <w:sz w:val="24"/>
      <w:szCs w:val="22"/>
    </w:rPr>
  </w:style>
  <w:style w:type="paragraph" w:styleId="Nadpis4">
    <w:name w:val="heading 4"/>
    <w:basedOn w:val="Normln"/>
    <w:next w:val="Normln"/>
    <w:link w:val="Nadpis4Char"/>
    <w:uiPriority w:val="9"/>
    <w:unhideWhenUsed/>
    <w:qFormat/>
    <w:rsid w:val="000412C2"/>
    <w:pPr>
      <w:numPr>
        <w:ilvl w:val="3"/>
        <w:numId w:val="19"/>
      </w:numPr>
      <w:pBdr>
        <w:top w:val="dotted" w:sz="6" w:space="2" w:color="372C74"/>
        <w:left w:val="dotted" w:sz="6" w:space="2" w:color="372C74"/>
      </w:pBdr>
      <w:spacing w:before="240" w:after="120"/>
      <w:outlineLvl w:val="3"/>
    </w:pPr>
    <w:rPr>
      <w:color w:val="282156"/>
      <w:spacing w:val="10"/>
      <w:sz w:val="24"/>
      <w:szCs w:val="22"/>
    </w:rPr>
  </w:style>
  <w:style w:type="paragraph" w:styleId="Nadpis5">
    <w:name w:val="heading 5"/>
    <w:aliases w:val="H5"/>
    <w:basedOn w:val="Normln"/>
    <w:next w:val="Normln"/>
    <w:link w:val="Nadpis5Char"/>
    <w:unhideWhenUsed/>
    <w:qFormat/>
    <w:rsid w:val="00351AD0"/>
    <w:pPr>
      <w:numPr>
        <w:ilvl w:val="4"/>
        <w:numId w:val="19"/>
      </w:numPr>
      <w:pBdr>
        <w:bottom w:val="single" w:sz="6" w:space="1" w:color="372C74"/>
      </w:pBdr>
      <w:spacing w:before="240" w:after="120"/>
      <w:outlineLvl w:val="4"/>
    </w:pPr>
    <w:rPr>
      <w:color w:val="282156"/>
      <w:spacing w:val="10"/>
      <w:szCs w:val="22"/>
    </w:rPr>
  </w:style>
  <w:style w:type="paragraph" w:styleId="Nadpis6">
    <w:name w:val="heading 6"/>
    <w:basedOn w:val="Normln"/>
    <w:next w:val="Normln"/>
    <w:link w:val="Nadpis6Char"/>
    <w:uiPriority w:val="9"/>
    <w:unhideWhenUsed/>
    <w:qFormat/>
    <w:rsid w:val="00351AD0"/>
    <w:pPr>
      <w:numPr>
        <w:ilvl w:val="5"/>
        <w:numId w:val="19"/>
      </w:numPr>
      <w:pBdr>
        <w:bottom w:val="dotted" w:sz="6" w:space="1" w:color="372C74"/>
      </w:pBdr>
      <w:spacing w:before="300" w:after="0"/>
      <w:outlineLvl w:val="5"/>
    </w:pPr>
    <w:rPr>
      <w:color w:val="282156"/>
      <w:spacing w:val="10"/>
      <w:szCs w:val="22"/>
    </w:rPr>
  </w:style>
  <w:style w:type="paragraph" w:styleId="Nadpis7">
    <w:name w:val="heading 7"/>
    <w:basedOn w:val="Normln"/>
    <w:next w:val="Normln"/>
    <w:link w:val="Nadpis7Char"/>
    <w:uiPriority w:val="9"/>
    <w:unhideWhenUsed/>
    <w:qFormat/>
    <w:rsid w:val="004B6F15"/>
    <w:pPr>
      <w:numPr>
        <w:ilvl w:val="6"/>
        <w:numId w:val="19"/>
      </w:numPr>
      <w:spacing w:before="300" w:after="0"/>
      <w:outlineLvl w:val="6"/>
    </w:pPr>
    <w:rPr>
      <w:caps/>
      <w:color w:val="282156"/>
      <w:spacing w:val="10"/>
      <w:szCs w:val="22"/>
    </w:rPr>
  </w:style>
  <w:style w:type="paragraph" w:styleId="Nadpis8">
    <w:name w:val="heading 8"/>
    <w:basedOn w:val="Normln"/>
    <w:next w:val="Normln"/>
    <w:link w:val="Nadpis8Char"/>
    <w:uiPriority w:val="9"/>
    <w:unhideWhenUsed/>
    <w:qFormat/>
    <w:rsid w:val="004B6F15"/>
    <w:pPr>
      <w:numPr>
        <w:ilvl w:val="7"/>
        <w:numId w:val="19"/>
      </w:numPr>
      <w:spacing w:before="300" w:after="0"/>
      <w:outlineLvl w:val="7"/>
    </w:pPr>
    <w:rPr>
      <w:caps/>
      <w:spacing w:val="10"/>
      <w:sz w:val="18"/>
      <w:szCs w:val="18"/>
    </w:rPr>
  </w:style>
  <w:style w:type="paragraph" w:styleId="Nadpis9">
    <w:name w:val="heading 9"/>
    <w:basedOn w:val="Normln"/>
    <w:next w:val="Normln"/>
    <w:link w:val="Nadpis9Char"/>
    <w:uiPriority w:val="9"/>
    <w:unhideWhenUsed/>
    <w:qFormat/>
    <w:rsid w:val="004B6F15"/>
    <w:pPr>
      <w:numPr>
        <w:ilvl w:val="8"/>
        <w:numId w:val="19"/>
      </w:numPr>
      <w:spacing w:before="300" w:after="0"/>
      <w:outlineLvl w:val="8"/>
    </w:pPr>
    <w:rPr>
      <w:i/>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basedOn w:val="Standardnpsmoodstavce"/>
    <w:link w:val="Nadpis1"/>
    <w:rsid w:val="00D74DBD"/>
    <w:rPr>
      <w:b/>
      <w:bCs/>
      <w:color w:val="372C74"/>
      <w:spacing w:val="20"/>
      <w:sz w:val="28"/>
      <w:szCs w:val="22"/>
      <w:shd w:val="clear" w:color="auto" w:fill="FFFFFF"/>
      <w:lang w:val="cs-CZ" w:bidi="en-US"/>
    </w:rPr>
  </w:style>
  <w:style w:type="character" w:customStyle="1" w:styleId="Nadpis2Char">
    <w:name w:val="Nadpis 2 Char"/>
    <w:aliases w:val="Char Char,Nadpis2 Char,Numbered - 2 Char"/>
    <w:basedOn w:val="Standardnpsmoodstavce"/>
    <w:link w:val="Nadpis2"/>
    <w:uiPriority w:val="9"/>
    <w:rsid w:val="000412C2"/>
    <w:rPr>
      <w:b/>
      <w:color w:val="372C74"/>
      <w:spacing w:val="20"/>
      <w:sz w:val="26"/>
      <w:szCs w:val="22"/>
      <w:shd w:val="clear" w:color="auto" w:fill="FFFFFF"/>
      <w:lang w:val="cs-CZ" w:bidi="en-US"/>
    </w:rPr>
  </w:style>
  <w:style w:type="character" w:customStyle="1" w:styleId="Nadpis3Char">
    <w:name w:val="Nadpis 3 Char"/>
    <w:aliases w:val="H3 Char,Podpodkapitola Char,adpis 3 Char,Numbered - 3 Char"/>
    <w:basedOn w:val="Standardnpsmoodstavce"/>
    <w:link w:val="Nadpis3"/>
    <w:uiPriority w:val="7"/>
    <w:rsid w:val="000412C2"/>
    <w:rPr>
      <w:color w:val="1B1639"/>
      <w:spacing w:val="15"/>
      <w:sz w:val="24"/>
      <w:szCs w:val="22"/>
      <w:lang w:val="cs-CZ" w:bidi="en-US"/>
    </w:rPr>
  </w:style>
  <w:style w:type="character" w:customStyle="1" w:styleId="Nadpis4Char">
    <w:name w:val="Nadpis 4 Char"/>
    <w:basedOn w:val="Standardnpsmoodstavce"/>
    <w:link w:val="Nadpis4"/>
    <w:uiPriority w:val="9"/>
    <w:rsid w:val="000412C2"/>
    <w:rPr>
      <w:color w:val="282156"/>
      <w:spacing w:val="10"/>
      <w:sz w:val="24"/>
      <w:szCs w:val="22"/>
      <w:lang w:val="cs-CZ" w:bidi="en-US"/>
    </w:rPr>
  </w:style>
  <w:style w:type="character" w:customStyle="1" w:styleId="Nadpis5Char">
    <w:name w:val="Nadpis 5 Char"/>
    <w:aliases w:val="H5 Char"/>
    <w:basedOn w:val="Standardnpsmoodstavce"/>
    <w:link w:val="Nadpis5"/>
    <w:rsid w:val="00351AD0"/>
    <w:rPr>
      <w:color w:val="282156"/>
      <w:spacing w:val="10"/>
      <w:sz w:val="22"/>
      <w:szCs w:val="22"/>
      <w:lang w:val="cs-CZ" w:bidi="en-US"/>
    </w:rPr>
  </w:style>
  <w:style w:type="character" w:customStyle="1" w:styleId="Nadpis6Char">
    <w:name w:val="Nadpis 6 Char"/>
    <w:basedOn w:val="Standardnpsmoodstavce"/>
    <w:link w:val="Nadpis6"/>
    <w:uiPriority w:val="9"/>
    <w:rsid w:val="00351AD0"/>
    <w:rPr>
      <w:color w:val="282156"/>
      <w:spacing w:val="10"/>
      <w:sz w:val="22"/>
      <w:szCs w:val="22"/>
      <w:lang w:val="cs-CZ" w:bidi="en-US"/>
    </w:rPr>
  </w:style>
  <w:style w:type="character" w:customStyle="1" w:styleId="Nadpis7Char">
    <w:name w:val="Nadpis 7 Char"/>
    <w:basedOn w:val="Standardnpsmoodstavce"/>
    <w:link w:val="Nadpis7"/>
    <w:uiPriority w:val="9"/>
    <w:rsid w:val="004B6F15"/>
    <w:rPr>
      <w:caps/>
      <w:color w:val="282156"/>
      <w:spacing w:val="10"/>
      <w:sz w:val="22"/>
      <w:szCs w:val="22"/>
      <w:lang w:val="cs-CZ" w:bidi="en-US"/>
    </w:rPr>
  </w:style>
  <w:style w:type="character" w:customStyle="1" w:styleId="Nadpis8Char">
    <w:name w:val="Nadpis 8 Char"/>
    <w:basedOn w:val="Standardnpsmoodstavce"/>
    <w:link w:val="Nadpis8"/>
    <w:uiPriority w:val="9"/>
    <w:rsid w:val="004B6F15"/>
    <w:rPr>
      <w:caps/>
      <w:spacing w:val="10"/>
      <w:sz w:val="18"/>
      <w:szCs w:val="18"/>
      <w:lang w:val="cs-CZ" w:bidi="en-US"/>
    </w:rPr>
  </w:style>
  <w:style w:type="character" w:customStyle="1" w:styleId="Nadpis9Char">
    <w:name w:val="Nadpis 9 Char"/>
    <w:basedOn w:val="Standardnpsmoodstavce"/>
    <w:link w:val="Nadpis9"/>
    <w:uiPriority w:val="9"/>
    <w:rsid w:val="004B6F15"/>
    <w:rPr>
      <w:i/>
      <w:caps/>
      <w:spacing w:val="10"/>
      <w:sz w:val="18"/>
      <w:szCs w:val="18"/>
      <w:lang w:val="cs-CZ" w:bidi="en-US"/>
    </w:rPr>
  </w:style>
  <w:style w:type="paragraph" w:styleId="Titulek">
    <w:name w:val="caption"/>
    <w:aliases w:val="~Caption"/>
    <w:basedOn w:val="Normln"/>
    <w:next w:val="Normln"/>
    <w:link w:val="TitulekChar"/>
    <w:unhideWhenUsed/>
    <w:qFormat/>
    <w:rsid w:val="00212850"/>
    <w:pPr>
      <w:spacing w:after="40"/>
      <w:jc w:val="left"/>
    </w:pPr>
    <w:rPr>
      <w:b/>
      <w:bCs/>
      <w:color w:val="372C74"/>
      <w:spacing w:val="10"/>
      <w:sz w:val="18"/>
      <w:szCs w:val="16"/>
    </w:rPr>
  </w:style>
  <w:style w:type="paragraph" w:styleId="Nzev">
    <w:name w:val="Title"/>
    <w:aliases w:val="Název části"/>
    <w:basedOn w:val="Normln"/>
    <w:next w:val="Normln"/>
    <w:link w:val="NzevChar"/>
    <w:uiPriority w:val="10"/>
    <w:qFormat/>
    <w:rsid w:val="00970DC9"/>
    <w:pPr>
      <w:jc w:val="left"/>
      <w:outlineLvl w:val="0"/>
    </w:pPr>
    <w:rPr>
      <w:color w:val="372C74"/>
      <w:spacing w:val="10"/>
      <w:kern w:val="28"/>
      <w:sz w:val="36"/>
      <w:szCs w:val="52"/>
    </w:rPr>
  </w:style>
  <w:style w:type="character" w:customStyle="1" w:styleId="NzevChar">
    <w:name w:val="Název Char"/>
    <w:aliases w:val="Název části Char"/>
    <w:basedOn w:val="Standardnpsmoodstavce"/>
    <w:link w:val="Nzev"/>
    <w:uiPriority w:val="10"/>
    <w:rsid w:val="00970DC9"/>
    <w:rPr>
      <w:rFonts w:ascii="Calibri" w:hAnsi="Calibri"/>
      <w:color w:val="372C74"/>
      <w:spacing w:val="10"/>
      <w:kern w:val="28"/>
      <w:sz w:val="36"/>
      <w:szCs w:val="52"/>
      <w:lang w:val="cs-CZ"/>
    </w:rPr>
  </w:style>
  <w:style w:type="paragraph" w:styleId="Podtitul">
    <w:name w:val="Subtitle"/>
    <w:basedOn w:val="Normln"/>
    <w:next w:val="Normln"/>
    <w:link w:val="PodtitulChar"/>
    <w:uiPriority w:val="11"/>
    <w:qFormat/>
    <w:rsid w:val="003F20C0"/>
    <w:pPr>
      <w:spacing w:after="1000" w:line="240" w:lineRule="auto"/>
      <w:jc w:val="center"/>
    </w:pPr>
    <w:rPr>
      <w:caps/>
      <w:color w:val="595959"/>
      <w:spacing w:val="10"/>
      <w:sz w:val="24"/>
      <w:szCs w:val="24"/>
    </w:rPr>
  </w:style>
  <w:style w:type="character" w:customStyle="1" w:styleId="PodtitulChar">
    <w:name w:val="Podtitul Char"/>
    <w:basedOn w:val="Standardnpsmoodstavce"/>
    <w:link w:val="Podtitul"/>
    <w:uiPriority w:val="11"/>
    <w:rsid w:val="003F20C0"/>
    <w:rPr>
      <w:rFonts w:ascii="Calibri" w:hAnsi="Calibri"/>
      <w:caps/>
      <w:color w:val="595959"/>
      <w:spacing w:val="10"/>
      <w:sz w:val="24"/>
      <w:szCs w:val="24"/>
      <w:lang w:val="cs-CZ"/>
    </w:rPr>
  </w:style>
  <w:style w:type="character" w:styleId="Siln">
    <w:name w:val="Strong"/>
    <w:uiPriority w:val="22"/>
    <w:qFormat/>
    <w:rsid w:val="00DF1E7A"/>
    <w:rPr>
      <w:rFonts w:ascii="Calibri" w:hAnsi="Calibri"/>
      <w:b/>
      <w:bCs/>
      <w:sz w:val="22"/>
    </w:rPr>
  </w:style>
  <w:style w:type="character" w:styleId="Zdraznn">
    <w:name w:val="Emphasis"/>
    <w:uiPriority w:val="20"/>
    <w:qFormat/>
    <w:rsid w:val="00DF1E7A"/>
    <w:rPr>
      <w:rFonts w:ascii="Calibri" w:hAnsi="Calibri"/>
      <w:caps/>
      <w:color w:val="372C74"/>
      <w:spacing w:val="5"/>
      <w:sz w:val="22"/>
    </w:rPr>
  </w:style>
  <w:style w:type="paragraph" w:styleId="Bezmezer">
    <w:name w:val="No Spacing"/>
    <w:basedOn w:val="Normln"/>
    <w:link w:val="BezmezerChar"/>
    <w:uiPriority w:val="1"/>
    <w:qFormat/>
    <w:rsid w:val="00C738F4"/>
    <w:pPr>
      <w:spacing w:before="0" w:after="0" w:line="240" w:lineRule="auto"/>
    </w:pPr>
  </w:style>
  <w:style w:type="character" w:customStyle="1" w:styleId="BezmezerChar">
    <w:name w:val="Bez mezer Char"/>
    <w:basedOn w:val="Standardnpsmoodstavce"/>
    <w:link w:val="Bezmezer"/>
    <w:uiPriority w:val="1"/>
    <w:rsid w:val="00C738F4"/>
    <w:rPr>
      <w:spacing w:val="6"/>
      <w:szCs w:val="20"/>
      <w:lang w:val="cs-CZ"/>
    </w:rPr>
  </w:style>
  <w:style w:type="paragraph" w:styleId="Odstavecseseznamem">
    <w:name w:val="List Paragraph"/>
    <w:aliases w:val="Odstavec cíl se seznamem,Nad,Odstavec se seznamem5,List Paragraph1,Odstavec_muj,Název grafu,nad 1,List Paragraph,Odstavec_muj1,Odstavec_muj2,Odstavec_muj3,Nad1,Odstavec_muj4,Nad2,List Paragraph2,Odstavec_muj5,Odstavec_muj6"/>
    <w:basedOn w:val="Normln"/>
    <w:link w:val="OdstavecseseznamemChar"/>
    <w:uiPriority w:val="35"/>
    <w:qFormat/>
    <w:rsid w:val="004B6F15"/>
    <w:pPr>
      <w:ind w:left="720"/>
      <w:contextualSpacing/>
    </w:pPr>
  </w:style>
  <w:style w:type="character" w:customStyle="1" w:styleId="OdstavecseseznamemChar">
    <w:name w:val="Odstavec se seznamem Char"/>
    <w:aliases w:val="Odstavec cíl se seznamem Char,Nad Char,Odstavec se seznamem5 Char,List Paragraph1 Char,Odstavec_muj Char,Název grafu Char,nad 1 Char,List Paragraph Char1,Odstavec_muj1 Char,Odstavec_muj2 Char,Odstavec_muj3 Char,Nad1 Char"/>
    <w:link w:val="Odstavecseseznamem"/>
    <w:uiPriority w:val="34"/>
    <w:locked/>
    <w:rsid w:val="00E851FF"/>
    <w:rPr>
      <w:spacing w:val="4"/>
      <w:sz w:val="22"/>
      <w:lang w:val="cs-CZ" w:bidi="en-US"/>
    </w:rPr>
  </w:style>
  <w:style w:type="paragraph" w:styleId="Citt">
    <w:name w:val="Quote"/>
    <w:basedOn w:val="Normln"/>
    <w:next w:val="Normln"/>
    <w:link w:val="CittChar"/>
    <w:uiPriority w:val="29"/>
    <w:qFormat/>
    <w:rsid w:val="004B6F15"/>
    <w:rPr>
      <w:i/>
      <w:iCs/>
    </w:rPr>
  </w:style>
  <w:style w:type="character" w:customStyle="1" w:styleId="CittChar">
    <w:name w:val="Citát Char"/>
    <w:basedOn w:val="Standardnpsmoodstavce"/>
    <w:link w:val="Citt"/>
    <w:uiPriority w:val="29"/>
    <w:rsid w:val="004B6F15"/>
    <w:rPr>
      <w:i/>
      <w:iCs/>
      <w:sz w:val="20"/>
      <w:szCs w:val="20"/>
    </w:rPr>
  </w:style>
  <w:style w:type="paragraph" w:styleId="Vrazncitt">
    <w:name w:val="Intense Quote"/>
    <w:basedOn w:val="Normln"/>
    <w:next w:val="Normln"/>
    <w:link w:val="VrazncittChar"/>
    <w:uiPriority w:val="30"/>
    <w:qFormat/>
    <w:rsid w:val="00296639"/>
    <w:pPr>
      <w:pBdr>
        <w:top w:val="single" w:sz="4" w:space="10" w:color="372C74"/>
        <w:left w:val="single" w:sz="4" w:space="10" w:color="372C74"/>
      </w:pBdr>
      <w:spacing w:after="0"/>
      <w:ind w:left="1296" w:right="1152"/>
    </w:pPr>
    <w:rPr>
      <w:i/>
      <w:iCs/>
      <w:color w:val="372C74"/>
    </w:rPr>
  </w:style>
  <w:style w:type="character" w:customStyle="1" w:styleId="VrazncittChar">
    <w:name w:val="Výrazný citát Char"/>
    <w:basedOn w:val="Standardnpsmoodstavce"/>
    <w:link w:val="Vrazncitt"/>
    <w:uiPriority w:val="30"/>
    <w:rsid w:val="00296639"/>
    <w:rPr>
      <w:i/>
      <w:iCs/>
      <w:color w:val="372C74"/>
      <w:spacing w:val="6"/>
      <w:szCs w:val="20"/>
      <w:lang w:val="cs-CZ"/>
    </w:rPr>
  </w:style>
  <w:style w:type="character" w:styleId="Zdraznnjemn">
    <w:name w:val="Subtle Emphasis"/>
    <w:uiPriority w:val="19"/>
    <w:qFormat/>
    <w:rsid w:val="00DF1E7A"/>
    <w:rPr>
      <w:rFonts w:ascii="Calibri" w:hAnsi="Calibri"/>
      <w:i/>
      <w:iCs/>
      <w:color w:val="372C74"/>
      <w:sz w:val="22"/>
    </w:rPr>
  </w:style>
  <w:style w:type="character" w:styleId="Zdraznnintenzivn">
    <w:name w:val="Intense Emphasis"/>
    <w:uiPriority w:val="21"/>
    <w:qFormat/>
    <w:rsid w:val="00DF1E7A"/>
    <w:rPr>
      <w:rFonts w:ascii="Calibri" w:hAnsi="Calibri"/>
      <w:b/>
      <w:bCs/>
      <w:color w:val="372C74"/>
      <w:spacing w:val="6"/>
      <w:sz w:val="22"/>
    </w:rPr>
  </w:style>
  <w:style w:type="character" w:styleId="Odkazjemn">
    <w:name w:val="Subtle Reference"/>
    <w:uiPriority w:val="31"/>
    <w:qFormat/>
    <w:rsid w:val="00DF1E7A"/>
    <w:rPr>
      <w:rFonts w:ascii="Calibri" w:hAnsi="Calibri"/>
      <w:b/>
      <w:bCs/>
      <w:color w:val="372C74"/>
      <w:sz w:val="22"/>
    </w:rPr>
  </w:style>
  <w:style w:type="character" w:styleId="Odkazintenzivn">
    <w:name w:val="Intense Reference"/>
    <w:uiPriority w:val="32"/>
    <w:qFormat/>
    <w:rsid w:val="00DF1E7A"/>
    <w:rPr>
      <w:rFonts w:ascii="Calibri" w:hAnsi="Calibri"/>
      <w:b/>
      <w:bCs/>
      <w:i/>
      <w:iCs/>
      <w:caps/>
      <w:color w:val="372C74"/>
      <w:sz w:val="22"/>
    </w:rPr>
  </w:style>
  <w:style w:type="character" w:styleId="Nzevknihy">
    <w:name w:val="Book Title"/>
    <w:uiPriority w:val="33"/>
    <w:rsid w:val="004B6F15"/>
    <w:rPr>
      <w:b/>
      <w:bCs/>
      <w:i/>
      <w:iCs/>
      <w:spacing w:val="9"/>
    </w:rPr>
  </w:style>
  <w:style w:type="paragraph" w:styleId="Nadpisobsahu">
    <w:name w:val="TOC Heading"/>
    <w:basedOn w:val="Nadpis1"/>
    <w:next w:val="Normln"/>
    <w:uiPriority w:val="39"/>
    <w:unhideWhenUsed/>
    <w:qFormat/>
    <w:rsid w:val="004B6F15"/>
    <w:pPr>
      <w:outlineLvl w:val="9"/>
    </w:pPr>
  </w:style>
  <w:style w:type="paragraph" w:customStyle="1" w:styleId="Zdrojdat">
    <w:name w:val="Zdroj dat"/>
    <w:basedOn w:val="Normln"/>
    <w:link w:val="ZdrojdatChar"/>
    <w:rsid w:val="00FB5E76"/>
    <w:pPr>
      <w:spacing w:before="120"/>
    </w:pPr>
    <w:rPr>
      <w:b/>
      <w:color w:val="262626"/>
    </w:rPr>
  </w:style>
  <w:style w:type="character" w:customStyle="1" w:styleId="ZdrojdatChar">
    <w:name w:val="Zdroj dat Char"/>
    <w:basedOn w:val="Standardnpsmoodstavce"/>
    <w:link w:val="Zdrojdat"/>
    <w:rsid w:val="00FB5E76"/>
    <w:rPr>
      <w:b/>
      <w:color w:val="262626"/>
      <w:sz w:val="20"/>
      <w:szCs w:val="20"/>
    </w:rPr>
  </w:style>
  <w:style w:type="character" w:styleId="Hypertextovodkaz">
    <w:name w:val="Hyperlink"/>
    <w:basedOn w:val="Standardnpsmoodstavce"/>
    <w:uiPriority w:val="99"/>
    <w:rsid w:val="00AF1713"/>
    <w:rPr>
      <w:color w:val="0000FF"/>
      <w:u w:val="single"/>
    </w:rPr>
  </w:style>
  <w:style w:type="paragraph" w:styleId="Obsah1">
    <w:name w:val="toc 1"/>
    <w:basedOn w:val="Normln"/>
    <w:next w:val="Normln"/>
    <w:autoRedefine/>
    <w:uiPriority w:val="39"/>
    <w:rsid w:val="00AF1713"/>
    <w:pPr>
      <w:tabs>
        <w:tab w:val="right" w:leader="dot" w:pos="9060"/>
      </w:tabs>
      <w:spacing w:before="80" w:after="80"/>
    </w:pPr>
    <w:rPr>
      <w:b/>
      <w:bCs/>
      <w:caps/>
    </w:rPr>
  </w:style>
  <w:style w:type="paragraph" w:styleId="Obsah2">
    <w:name w:val="toc 2"/>
    <w:basedOn w:val="Normln"/>
    <w:next w:val="Normln"/>
    <w:autoRedefine/>
    <w:uiPriority w:val="39"/>
    <w:rsid w:val="00AF1713"/>
    <w:pPr>
      <w:spacing w:after="0"/>
      <w:ind w:left="240"/>
    </w:pPr>
    <w:rPr>
      <w:smallCaps/>
    </w:rPr>
  </w:style>
  <w:style w:type="paragraph" w:styleId="Obsah3">
    <w:name w:val="toc 3"/>
    <w:basedOn w:val="Normln"/>
    <w:next w:val="Normln"/>
    <w:autoRedefine/>
    <w:uiPriority w:val="39"/>
    <w:rsid w:val="00AF1713"/>
    <w:pPr>
      <w:spacing w:after="0"/>
      <w:ind w:left="480"/>
    </w:pPr>
    <w:rPr>
      <w:i/>
      <w:iCs/>
    </w:rPr>
  </w:style>
  <w:style w:type="table" w:styleId="Mkatabulky">
    <w:name w:val="Table Grid"/>
    <w:basedOn w:val="Mkatabulky1"/>
    <w:uiPriority w:val="39"/>
    <w:rsid w:val="00441A42"/>
    <w:pPr>
      <w:spacing w:before="40" w:after="40"/>
      <w:jc w:val="left"/>
    </w:pPr>
    <w:tblPr>
      <w:tblBorders>
        <w:top w:val="single" w:sz="12" w:space="0" w:color="372C74"/>
        <w:left w:val="single" w:sz="12" w:space="0" w:color="372C74"/>
        <w:bottom w:val="single" w:sz="12" w:space="0" w:color="372C74"/>
        <w:right w:val="single" w:sz="12" w:space="0" w:color="372C74"/>
        <w:insideH w:val="single" w:sz="4" w:space="0" w:color="372C74"/>
        <w:insideV w:val="single" w:sz="4" w:space="0" w:color="372C74"/>
      </w:tblBorders>
    </w:tblPr>
    <w:tcPr>
      <w:shd w:val="clear" w:color="auto" w:fill="auto"/>
      <w:vAlign w:val="center"/>
    </w:tcPr>
    <w:tblStylePr w:type="firstRow">
      <w:rPr>
        <w:rFonts w:ascii="Cambria Math" w:hAnsi="Cambria Math"/>
        <w:color w:val="auto"/>
        <w:sz w:val="22"/>
      </w:rPr>
      <w:tblPr/>
      <w:tcPr>
        <w:tcBorders>
          <w:top w:val="single" w:sz="12" w:space="0" w:color="372C74"/>
          <w:left w:val="single" w:sz="12" w:space="0" w:color="372C74"/>
          <w:bottom w:val="single" w:sz="12" w:space="0" w:color="372C74"/>
          <w:right w:val="single" w:sz="12" w:space="0" w:color="372C74"/>
          <w:insideH w:val="nil"/>
          <w:insideV w:val="nil"/>
          <w:tl2br w:val="nil"/>
          <w:tr2bl w:val="nil"/>
        </w:tcBorders>
        <w:shd w:val="clear" w:color="auto" w:fill="372C74"/>
      </w:tcPr>
    </w:tblStylePr>
    <w:tblStylePr w:type="lastRow">
      <w:rPr>
        <w:i/>
        <w:iCs/>
      </w:rPr>
      <w:tblPr/>
      <w:tcPr>
        <w:tcBorders>
          <w:tl2br w:val="none" w:sz="0" w:space="0" w:color="auto"/>
          <w:tr2bl w:val="none" w:sz="0" w:space="0" w:color="auto"/>
        </w:tcBorders>
      </w:tcPr>
    </w:tblStylePr>
    <w:tblStylePr w:type="firstCol">
      <w:rPr>
        <w:color w:val="372C74"/>
      </w:rPr>
      <w:tblPr/>
      <w:tcPr>
        <w:tcBorders>
          <w:top w:val="single" w:sz="12" w:space="0" w:color="372C74"/>
          <w:left w:val="single" w:sz="12" w:space="0" w:color="372C74"/>
          <w:bottom w:val="single" w:sz="12" w:space="0" w:color="372C74"/>
          <w:right w:val="single" w:sz="12" w:space="0" w:color="372C74"/>
          <w:insideH w:val="nil"/>
          <w:insideV w:val="nil"/>
          <w:tl2br w:val="nil"/>
          <w:tr2bl w:val="nil"/>
        </w:tcBorders>
        <w:shd w:val="clear" w:color="auto" w:fill="auto"/>
      </w:tcPr>
    </w:tblStylePr>
    <w:tblStylePr w:type="lastCol">
      <w:rPr>
        <w:i/>
        <w:iCs/>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B10F6F"/>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Normlnweb">
    <w:name w:val="Normal (Web)"/>
    <w:basedOn w:val="Normln"/>
    <w:uiPriority w:val="99"/>
    <w:unhideWhenUsed/>
    <w:rsid w:val="00AF1713"/>
    <w:pPr>
      <w:spacing w:before="100" w:beforeAutospacing="1" w:after="100" w:afterAutospacing="1"/>
    </w:pPr>
    <w:rPr>
      <w:rFonts w:eastAsia="Times New Roman"/>
    </w:rPr>
  </w:style>
  <w:style w:type="paragraph" w:styleId="Textbubliny">
    <w:name w:val="Balloon Text"/>
    <w:basedOn w:val="Normln"/>
    <w:link w:val="TextbublinyChar"/>
    <w:uiPriority w:val="99"/>
    <w:semiHidden/>
    <w:unhideWhenUsed/>
    <w:rsid w:val="00AF1713"/>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F1713"/>
    <w:rPr>
      <w:rFonts w:ascii="Tahoma" w:eastAsia="MS Mincho" w:hAnsi="Tahoma" w:cs="Tahoma"/>
      <w:sz w:val="16"/>
      <w:szCs w:val="16"/>
      <w:lang w:val="cs-CZ"/>
    </w:rPr>
  </w:style>
  <w:style w:type="paragraph" w:styleId="Zhlav">
    <w:name w:val="header"/>
    <w:aliases w:val="ho,header odd,first,heading one,Odd Header,h"/>
    <w:basedOn w:val="Normln"/>
    <w:link w:val="ZhlavChar"/>
    <w:uiPriority w:val="99"/>
    <w:unhideWhenUsed/>
    <w:rsid w:val="00AF1713"/>
    <w:pPr>
      <w:tabs>
        <w:tab w:val="center" w:pos="4536"/>
        <w:tab w:val="right" w:pos="9072"/>
      </w:tabs>
      <w:spacing w:before="0" w:after="0" w:line="240" w:lineRule="auto"/>
    </w:pPr>
  </w:style>
  <w:style w:type="character" w:customStyle="1" w:styleId="ZhlavChar">
    <w:name w:val="Záhlaví Char"/>
    <w:aliases w:val="ho Char,header odd Char,first Char,heading one Char,Odd Header Char,h Char"/>
    <w:basedOn w:val="Standardnpsmoodstavce"/>
    <w:link w:val="Zhlav"/>
    <w:uiPriority w:val="99"/>
    <w:rsid w:val="00AF1713"/>
    <w:rPr>
      <w:rFonts w:eastAsia="MS Mincho"/>
      <w:szCs w:val="20"/>
      <w:lang w:val="cs-CZ"/>
    </w:rPr>
  </w:style>
  <w:style w:type="paragraph" w:styleId="Zpat">
    <w:name w:val="footer"/>
    <w:basedOn w:val="Normln"/>
    <w:link w:val="ZpatChar"/>
    <w:unhideWhenUsed/>
    <w:rsid w:val="00AF1713"/>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AF1713"/>
    <w:rPr>
      <w:rFonts w:eastAsia="MS Mincho"/>
      <w:szCs w:val="20"/>
      <w:lang w:val="cs-CZ"/>
    </w:rPr>
  </w:style>
  <w:style w:type="paragraph" w:styleId="Zkladntext">
    <w:name w:val="Body Text"/>
    <w:aliases w:val="Standard paragraph"/>
    <w:basedOn w:val="Normln"/>
    <w:link w:val="ZkladntextChar"/>
    <w:uiPriority w:val="1"/>
    <w:qFormat/>
    <w:rsid w:val="00E42431"/>
    <w:pPr>
      <w:spacing w:before="0" w:after="120" w:line="240" w:lineRule="auto"/>
    </w:pPr>
    <w:rPr>
      <w:rFonts w:ascii="Times New Roman" w:eastAsia="Times New Roman" w:hAnsi="Times New Roman"/>
      <w:sz w:val="24"/>
      <w:szCs w:val="24"/>
      <w:lang w:eastAsia="cs-CZ" w:bidi="ar-SA"/>
    </w:rPr>
  </w:style>
  <w:style w:type="character" w:customStyle="1" w:styleId="ZkladntextChar">
    <w:name w:val="Základní text Char"/>
    <w:aliases w:val="Standard paragraph Char"/>
    <w:basedOn w:val="Standardnpsmoodstavce"/>
    <w:link w:val="Zkladntext"/>
    <w:rsid w:val="00E42431"/>
    <w:rPr>
      <w:rFonts w:ascii="Times New Roman" w:eastAsia="Times New Roman" w:hAnsi="Times New Roman" w:cs="Times New Roman"/>
      <w:sz w:val="24"/>
      <w:szCs w:val="24"/>
      <w:lang w:val="cs-CZ" w:eastAsia="cs-CZ" w:bidi="ar-SA"/>
    </w:rPr>
  </w:style>
  <w:style w:type="table" w:customStyle="1" w:styleId="Styl1">
    <w:name w:val="Styl1"/>
    <w:basedOn w:val="Normlntabulka"/>
    <w:uiPriority w:val="99"/>
    <w:qFormat/>
    <w:rsid w:val="009132A1"/>
    <w:tblPr>
      <w:tblBorders>
        <w:top w:val="single" w:sz="8" w:space="0" w:color="372C74"/>
        <w:bottom w:val="single" w:sz="8" w:space="0" w:color="372C74"/>
        <w:insideH w:val="single" w:sz="4" w:space="0" w:color="auto"/>
      </w:tblBorders>
    </w:tblPr>
  </w:style>
  <w:style w:type="paragraph" w:customStyle="1" w:styleId="Default">
    <w:name w:val="Default"/>
    <w:rsid w:val="00F55414"/>
    <w:pPr>
      <w:autoSpaceDE w:val="0"/>
      <w:autoSpaceDN w:val="0"/>
      <w:adjustRightInd w:val="0"/>
      <w:spacing w:before="200" w:after="200" w:line="276" w:lineRule="auto"/>
    </w:pPr>
    <w:rPr>
      <w:rFonts w:ascii="Arial" w:eastAsia="Calibri" w:hAnsi="Arial" w:cs="Arial"/>
      <w:color w:val="000000"/>
      <w:sz w:val="24"/>
      <w:szCs w:val="24"/>
      <w:lang w:val="cs-CZ"/>
    </w:rPr>
  </w:style>
  <w:style w:type="paragraph" w:styleId="Obsah5">
    <w:name w:val="toc 5"/>
    <w:basedOn w:val="Normln"/>
    <w:next w:val="Normln"/>
    <w:autoRedefine/>
    <w:uiPriority w:val="39"/>
    <w:unhideWhenUsed/>
    <w:rsid w:val="0023333C"/>
    <w:pPr>
      <w:spacing w:after="100"/>
      <w:ind w:left="880"/>
    </w:pPr>
  </w:style>
  <w:style w:type="paragraph" w:styleId="Obsah4">
    <w:name w:val="toc 4"/>
    <w:basedOn w:val="Normln"/>
    <w:next w:val="Normln"/>
    <w:autoRedefine/>
    <w:uiPriority w:val="39"/>
    <w:unhideWhenUsed/>
    <w:rsid w:val="0023333C"/>
    <w:pPr>
      <w:spacing w:after="100"/>
      <w:ind w:left="660"/>
    </w:pPr>
  </w:style>
  <w:style w:type="paragraph" w:styleId="Obsah6">
    <w:name w:val="toc 6"/>
    <w:basedOn w:val="Normln"/>
    <w:next w:val="Normln"/>
    <w:autoRedefine/>
    <w:uiPriority w:val="39"/>
    <w:unhideWhenUsed/>
    <w:rsid w:val="0023333C"/>
    <w:pPr>
      <w:spacing w:before="0" w:after="100"/>
      <w:ind w:left="1100"/>
    </w:pPr>
    <w:rPr>
      <w:szCs w:val="22"/>
      <w:lang w:eastAsia="cs-CZ" w:bidi="ar-SA"/>
    </w:rPr>
  </w:style>
  <w:style w:type="paragraph" w:styleId="Obsah7">
    <w:name w:val="toc 7"/>
    <w:basedOn w:val="Normln"/>
    <w:next w:val="Normln"/>
    <w:autoRedefine/>
    <w:uiPriority w:val="39"/>
    <w:unhideWhenUsed/>
    <w:rsid w:val="0023333C"/>
    <w:pPr>
      <w:spacing w:before="0" w:after="100"/>
      <w:ind w:left="1320"/>
    </w:pPr>
    <w:rPr>
      <w:szCs w:val="22"/>
      <w:lang w:eastAsia="cs-CZ" w:bidi="ar-SA"/>
    </w:rPr>
  </w:style>
  <w:style w:type="paragraph" w:styleId="Obsah8">
    <w:name w:val="toc 8"/>
    <w:basedOn w:val="Normln"/>
    <w:next w:val="Normln"/>
    <w:autoRedefine/>
    <w:uiPriority w:val="39"/>
    <w:unhideWhenUsed/>
    <w:rsid w:val="0023333C"/>
    <w:pPr>
      <w:spacing w:before="0" w:after="100"/>
      <w:ind w:left="1540"/>
    </w:pPr>
    <w:rPr>
      <w:szCs w:val="22"/>
      <w:lang w:eastAsia="cs-CZ" w:bidi="ar-SA"/>
    </w:rPr>
  </w:style>
  <w:style w:type="paragraph" w:styleId="Obsah9">
    <w:name w:val="toc 9"/>
    <w:basedOn w:val="Normln"/>
    <w:next w:val="Normln"/>
    <w:autoRedefine/>
    <w:uiPriority w:val="39"/>
    <w:unhideWhenUsed/>
    <w:rsid w:val="0023333C"/>
    <w:pPr>
      <w:spacing w:before="0" w:after="100"/>
      <w:ind w:left="1760"/>
    </w:pPr>
    <w:rPr>
      <w:szCs w:val="22"/>
      <w:lang w:eastAsia="cs-CZ" w:bidi="ar-SA"/>
    </w:rPr>
  </w:style>
  <w:style w:type="paragraph" w:styleId="Textpoznpodarou">
    <w:name w:val="footnote text"/>
    <w:aliases w:val="Fußnotentextf,Text poznámky pod čiarou 007,Footnote,Schriftart: 9 pt,Schriftart: 10 pt,Schriftart: 8 pt,pozn. pod čarou,Geneva 9,Font: Geneva 9,Boston 10,f,Schrif,Podrozdział,Podrozdzia3,Footnote Text Char1,Footnote Text Char Char,o"/>
    <w:basedOn w:val="Normln"/>
    <w:link w:val="TextpoznpodarouChar"/>
    <w:uiPriority w:val="99"/>
    <w:qFormat/>
    <w:rsid w:val="008144EE"/>
    <w:pPr>
      <w:suppressAutoHyphens/>
      <w:spacing w:before="0" w:after="0" w:line="240" w:lineRule="auto"/>
    </w:pPr>
    <w:rPr>
      <w:rFonts w:eastAsia="Calibri"/>
      <w:spacing w:val="0"/>
      <w:sz w:val="18"/>
      <w:lang w:eastAsia="ar-SA" w:bidi="ar-SA"/>
    </w:rPr>
  </w:style>
  <w:style w:type="character" w:customStyle="1" w:styleId="TextpoznpodarouChar">
    <w:name w:val="Text pozn. pod čarou Char"/>
    <w:aliases w:val="Fußnotentextf Char,Text poznámky pod čiarou 007 Char,Footnote Char,Schriftart: 9 pt Char,Schriftart: 10 pt Char,Schriftart: 8 pt Char,pozn. pod čarou Char,Geneva 9 Char,Font: Geneva 9 Char,Boston 10 Char,f Char,Schrif Char"/>
    <w:basedOn w:val="Standardnpsmoodstavce"/>
    <w:link w:val="Textpoznpodarou"/>
    <w:uiPriority w:val="99"/>
    <w:rsid w:val="008144EE"/>
    <w:rPr>
      <w:rFonts w:eastAsia="Calibri" w:cs="Times New Roman"/>
      <w:sz w:val="18"/>
      <w:szCs w:val="20"/>
      <w:lang w:val="cs-CZ" w:eastAsia="ar-SA" w:bidi="ar-SA"/>
    </w:rPr>
  </w:style>
  <w:style w:type="character" w:styleId="Znakapoznpodarou">
    <w:name w:val="footnote reference"/>
    <w:aliases w:val="PGI Fußnote Ziffer,BVI fnr,Footnote symbol,Footnote Reference Superscript,Appel note de bas de p,Appel note de bas de page,Légende,Char Car Car Car Car,Voetnootverwijzing,Footnote Reference Number,Légende;Char Car Car Car Car"/>
    <w:uiPriority w:val="99"/>
    <w:rsid w:val="008D1758"/>
    <w:rPr>
      <w:vertAlign w:val="superscript"/>
    </w:rPr>
  </w:style>
  <w:style w:type="paragraph" w:customStyle="1" w:styleId="NadpisRP3">
    <w:name w:val="Nadpis RP 3"/>
    <w:basedOn w:val="Nadpis3"/>
    <w:next w:val="Normln"/>
    <w:autoRedefine/>
    <w:rsid w:val="00C91D3F"/>
    <w:pPr>
      <w:spacing w:before="0" w:after="200"/>
    </w:pPr>
    <w:rPr>
      <w:i/>
    </w:rPr>
  </w:style>
  <w:style w:type="character" w:styleId="Odkaznakoment">
    <w:name w:val="annotation reference"/>
    <w:basedOn w:val="Standardnpsmoodstavce"/>
    <w:uiPriority w:val="99"/>
    <w:semiHidden/>
    <w:unhideWhenUsed/>
    <w:rsid w:val="008911FB"/>
    <w:rPr>
      <w:sz w:val="16"/>
      <w:szCs w:val="16"/>
    </w:rPr>
  </w:style>
  <w:style w:type="paragraph" w:styleId="Textkomente">
    <w:name w:val="annotation text"/>
    <w:basedOn w:val="Normln"/>
    <w:link w:val="TextkomenteChar"/>
    <w:uiPriority w:val="99"/>
    <w:unhideWhenUsed/>
    <w:rsid w:val="008911FB"/>
    <w:pPr>
      <w:spacing w:line="240" w:lineRule="auto"/>
    </w:pPr>
  </w:style>
  <w:style w:type="character" w:customStyle="1" w:styleId="TextkomenteChar">
    <w:name w:val="Text komentáře Char"/>
    <w:basedOn w:val="Standardnpsmoodstavce"/>
    <w:link w:val="Textkomente"/>
    <w:uiPriority w:val="99"/>
    <w:rsid w:val="008911FB"/>
    <w:rPr>
      <w:rFonts w:eastAsia="MS Mincho"/>
      <w:sz w:val="20"/>
      <w:szCs w:val="20"/>
      <w:lang w:val="cs-CZ"/>
    </w:rPr>
  </w:style>
  <w:style w:type="paragraph" w:styleId="Pedmtkomente">
    <w:name w:val="annotation subject"/>
    <w:basedOn w:val="Textkomente"/>
    <w:next w:val="Textkomente"/>
    <w:link w:val="PedmtkomenteChar"/>
    <w:uiPriority w:val="99"/>
    <w:unhideWhenUsed/>
    <w:rsid w:val="008911FB"/>
    <w:rPr>
      <w:b/>
      <w:bCs/>
    </w:rPr>
  </w:style>
  <w:style w:type="character" w:customStyle="1" w:styleId="PedmtkomenteChar">
    <w:name w:val="Předmět komentáře Char"/>
    <w:basedOn w:val="TextkomenteChar"/>
    <w:link w:val="Pedmtkomente"/>
    <w:uiPriority w:val="99"/>
    <w:rsid w:val="008911FB"/>
    <w:rPr>
      <w:rFonts w:eastAsia="MS Mincho"/>
      <w:b/>
      <w:bCs/>
      <w:sz w:val="20"/>
      <w:szCs w:val="20"/>
      <w:lang w:val="cs-CZ"/>
    </w:rPr>
  </w:style>
  <w:style w:type="character" w:customStyle="1" w:styleId="apple-converted-space">
    <w:name w:val="apple-converted-space"/>
    <w:basedOn w:val="Standardnpsmoodstavce"/>
    <w:rsid w:val="00871FDF"/>
  </w:style>
  <w:style w:type="paragraph" w:customStyle="1" w:styleId="Texttabulky">
    <w:name w:val="Text tabulky"/>
    <w:basedOn w:val="Normln"/>
    <w:uiPriority w:val="99"/>
    <w:qFormat/>
    <w:rsid w:val="00A603C4"/>
    <w:pPr>
      <w:spacing w:before="40" w:after="40" w:line="240" w:lineRule="auto"/>
      <w:jc w:val="left"/>
    </w:pPr>
    <w:rPr>
      <w:spacing w:val="0"/>
    </w:rPr>
  </w:style>
  <w:style w:type="paragraph" w:customStyle="1" w:styleId="Bn">
    <w:name w:val="Běžný"/>
    <w:basedOn w:val="Normln"/>
    <w:rsid w:val="009066B4"/>
    <w:pPr>
      <w:spacing w:before="60" w:after="60" w:line="240" w:lineRule="auto"/>
    </w:pPr>
    <w:rPr>
      <w:rFonts w:ascii="Arial" w:eastAsia="Geneva" w:hAnsi="Arial" w:cs="Tahoma"/>
      <w:spacing w:val="0"/>
      <w:sz w:val="20"/>
      <w:lang w:eastAsia="cs-CZ" w:bidi="ar-SA"/>
    </w:rPr>
  </w:style>
  <w:style w:type="paragraph" w:styleId="Zkladntext2">
    <w:name w:val="Body Text 2"/>
    <w:basedOn w:val="Normln"/>
    <w:link w:val="Zkladntext2Char"/>
    <w:uiPriority w:val="99"/>
    <w:unhideWhenUsed/>
    <w:rsid w:val="00D462DC"/>
    <w:pPr>
      <w:spacing w:after="120" w:line="480" w:lineRule="auto"/>
    </w:pPr>
  </w:style>
  <w:style w:type="character" w:customStyle="1" w:styleId="Zkladntext2Char">
    <w:name w:val="Základní text 2 Char"/>
    <w:basedOn w:val="Standardnpsmoodstavce"/>
    <w:link w:val="Zkladntext2"/>
    <w:uiPriority w:val="99"/>
    <w:rsid w:val="00D462DC"/>
    <w:rPr>
      <w:spacing w:val="4"/>
      <w:szCs w:val="20"/>
      <w:lang w:val="cs-CZ"/>
    </w:rPr>
  </w:style>
  <w:style w:type="paragraph" w:customStyle="1" w:styleId="CVHeadingLanguage">
    <w:name w:val="CV Heading Language"/>
    <w:basedOn w:val="Normln"/>
    <w:next w:val="LevelAssessment-Code"/>
    <w:rsid w:val="00D462DC"/>
    <w:pPr>
      <w:suppressAutoHyphens/>
      <w:spacing w:after="0"/>
      <w:ind w:left="113" w:right="113"/>
      <w:jc w:val="right"/>
    </w:pPr>
    <w:rPr>
      <w:rFonts w:ascii="Arial Narrow" w:eastAsia="Times New Roman" w:hAnsi="Arial Narrow"/>
      <w:b/>
      <w:spacing w:val="0"/>
      <w:lang w:eastAsia="ar-SA"/>
    </w:rPr>
  </w:style>
  <w:style w:type="paragraph" w:customStyle="1" w:styleId="LevelAssessment-Code">
    <w:name w:val="Level Assessment - Code"/>
    <w:basedOn w:val="Normln"/>
    <w:next w:val="LevelAssessment-Description"/>
    <w:rsid w:val="00D462DC"/>
    <w:pPr>
      <w:suppressAutoHyphens/>
      <w:spacing w:after="0"/>
      <w:ind w:left="28"/>
      <w:jc w:val="center"/>
    </w:pPr>
    <w:rPr>
      <w:rFonts w:ascii="Arial Narrow" w:eastAsia="Times New Roman" w:hAnsi="Arial Narrow"/>
      <w:spacing w:val="0"/>
      <w:sz w:val="18"/>
      <w:lang w:eastAsia="ar-SA"/>
    </w:rPr>
  </w:style>
  <w:style w:type="paragraph" w:customStyle="1" w:styleId="LevelAssessment-Description">
    <w:name w:val="Level Assessment - Description"/>
    <w:basedOn w:val="LevelAssessment-Code"/>
    <w:next w:val="LevelAssessment-Code"/>
    <w:rsid w:val="00D462DC"/>
    <w:pPr>
      <w:textAlignment w:val="bottom"/>
    </w:pPr>
  </w:style>
  <w:style w:type="paragraph" w:customStyle="1" w:styleId="LevelAssessment-Note">
    <w:name w:val="Level Assessment - Note"/>
    <w:basedOn w:val="LevelAssessment-Code"/>
    <w:rsid w:val="00D462DC"/>
    <w:pPr>
      <w:ind w:left="113"/>
      <w:jc w:val="left"/>
    </w:pPr>
    <w:rPr>
      <w:i/>
    </w:rPr>
  </w:style>
  <w:style w:type="paragraph" w:customStyle="1" w:styleId="CVNormal">
    <w:name w:val="CV Normal"/>
    <w:basedOn w:val="Normln"/>
    <w:rsid w:val="00D462DC"/>
    <w:pPr>
      <w:suppressAutoHyphens/>
      <w:spacing w:after="0"/>
      <w:ind w:left="113" w:right="113"/>
    </w:pPr>
    <w:rPr>
      <w:rFonts w:ascii="Arial Narrow" w:eastAsia="Times New Roman" w:hAnsi="Arial Narrow"/>
      <w:spacing w:val="0"/>
      <w:sz w:val="20"/>
      <w:lang w:eastAsia="ar-SA"/>
    </w:rPr>
  </w:style>
  <w:style w:type="paragraph" w:customStyle="1" w:styleId="CVTitle">
    <w:name w:val="CV Title"/>
    <w:basedOn w:val="Normln"/>
    <w:rsid w:val="00983E2C"/>
    <w:pPr>
      <w:suppressAutoHyphens/>
      <w:spacing w:after="0"/>
      <w:ind w:left="113" w:right="113"/>
      <w:jc w:val="right"/>
    </w:pPr>
    <w:rPr>
      <w:rFonts w:ascii="Arial Narrow" w:eastAsia="Times New Roman" w:hAnsi="Arial Narrow"/>
      <w:b/>
      <w:bCs/>
      <w:spacing w:val="10"/>
      <w:sz w:val="28"/>
      <w:lang w:val="fr-FR" w:eastAsia="ar-SA"/>
    </w:rPr>
  </w:style>
  <w:style w:type="paragraph" w:customStyle="1" w:styleId="CVHeading1">
    <w:name w:val="CV Heading 1"/>
    <w:basedOn w:val="Normln"/>
    <w:next w:val="Normln"/>
    <w:rsid w:val="00983E2C"/>
    <w:pPr>
      <w:suppressAutoHyphens/>
      <w:spacing w:before="74" w:after="0"/>
      <w:ind w:left="113" w:right="113"/>
      <w:jc w:val="right"/>
    </w:pPr>
    <w:rPr>
      <w:rFonts w:ascii="Arial Narrow" w:eastAsia="Times New Roman" w:hAnsi="Arial Narrow"/>
      <w:b/>
      <w:spacing w:val="0"/>
      <w:lang w:eastAsia="ar-SA"/>
    </w:rPr>
  </w:style>
  <w:style w:type="paragraph" w:customStyle="1" w:styleId="CVHeading2">
    <w:name w:val="CV Heading 2"/>
    <w:basedOn w:val="CVHeading1"/>
    <w:next w:val="Normln"/>
    <w:rsid w:val="00983E2C"/>
    <w:pPr>
      <w:spacing w:before="0"/>
    </w:pPr>
    <w:rPr>
      <w:b w:val="0"/>
    </w:rPr>
  </w:style>
  <w:style w:type="paragraph" w:customStyle="1" w:styleId="CVHeading2-FirstLine">
    <w:name w:val="CV Heading 2 - First Line"/>
    <w:basedOn w:val="CVHeading2"/>
    <w:next w:val="CVHeading2"/>
    <w:rsid w:val="00983E2C"/>
    <w:pPr>
      <w:spacing w:before="74"/>
    </w:pPr>
  </w:style>
  <w:style w:type="paragraph" w:customStyle="1" w:styleId="CVHeading3">
    <w:name w:val="CV Heading 3"/>
    <w:basedOn w:val="Normln"/>
    <w:next w:val="Normln"/>
    <w:rsid w:val="00983E2C"/>
    <w:pPr>
      <w:suppressAutoHyphens/>
      <w:spacing w:after="0"/>
      <w:ind w:left="113" w:right="113"/>
      <w:jc w:val="right"/>
      <w:textAlignment w:val="center"/>
    </w:pPr>
    <w:rPr>
      <w:rFonts w:ascii="Arial Narrow" w:eastAsia="Times New Roman" w:hAnsi="Arial Narrow"/>
      <w:spacing w:val="0"/>
      <w:sz w:val="20"/>
      <w:lang w:eastAsia="ar-SA"/>
    </w:rPr>
  </w:style>
  <w:style w:type="paragraph" w:customStyle="1" w:styleId="CVHeading3-FirstLine">
    <w:name w:val="CV Heading 3 - First Line"/>
    <w:basedOn w:val="CVHeading3"/>
    <w:next w:val="CVHeading3"/>
    <w:rsid w:val="00983E2C"/>
    <w:pPr>
      <w:spacing w:before="74"/>
    </w:pPr>
  </w:style>
  <w:style w:type="paragraph" w:customStyle="1" w:styleId="CVHeadingLevel">
    <w:name w:val="CV Heading Level"/>
    <w:basedOn w:val="CVHeading3"/>
    <w:next w:val="Normln"/>
    <w:rsid w:val="00983E2C"/>
    <w:rPr>
      <w:i/>
    </w:rPr>
  </w:style>
  <w:style w:type="paragraph" w:customStyle="1" w:styleId="LevelAssessment-Heading1">
    <w:name w:val="Level Assessment - Heading 1"/>
    <w:basedOn w:val="LevelAssessment-Code"/>
    <w:rsid w:val="00983E2C"/>
    <w:pPr>
      <w:ind w:left="57" w:right="57"/>
    </w:pPr>
    <w:rPr>
      <w:b/>
      <w:sz w:val="22"/>
    </w:rPr>
  </w:style>
  <w:style w:type="paragraph" w:customStyle="1" w:styleId="LevelAssessment-Heading2">
    <w:name w:val="Level Assessment - Heading 2"/>
    <w:basedOn w:val="Normln"/>
    <w:rsid w:val="00983E2C"/>
    <w:pPr>
      <w:suppressAutoHyphens/>
      <w:spacing w:after="0"/>
      <w:ind w:left="57" w:right="57"/>
      <w:jc w:val="center"/>
    </w:pPr>
    <w:rPr>
      <w:rFonts w:ascii="Arial Narrow" w:eastAsia="Times New Roman" w:hAnsi="Arial Narrow"/>
      <w:spacing w:val="0"/>
      <w:sz w:val="18"/>
      <w:lang w:eastAsia="ar-SA"/>
    </w:rPr>
  </w:style>
  <w:style w:type="paragraph" w:customStyle="1" w:styleId="CVMajor-FirstLine">
    <w:name w:val="CV Major - First Line"/>
    <w:basedOn w:val="Normln"/>
    <w:next w:val="Normln"/>
    <w:rsid w:val="00983E2C"/>
    <w:pPr>
      <w:suppressAutoHyphens/>
      <w:spacing w:before="74" w:after="0"/>
      <w:ind w:left="113" w:right="113"/>
    </w:pPr>
    <w:rPr>
      <w:rFonts w:ascii="Arial Narrow" w:eastAsia="Times New Roman" w:hAnsi="Arial Narrow"/>
      <w:b/>
      <w:spacing w:val="0"/>
      <w:lang w:eastAsia="ar-SA"/>
    </w:rPr>
  </w:style>
  <w:style w:type="paragraph" w:customStyle="1" w:styleId="CVMedium-FirstLine">
    <w:name w:val="CV Medium - First Line"/>
    <w:basedOn w:val="Normln"/>
    <w:next w:val="Normln"/>
    <w:rsid w:val="00983E2C"/>
    <w:pPr>
      <w:suppressAutoHyphens/>
      <w:spacing w:before="74" w:after="0"/>
      <w:ind w:left="113" w:right="113"/>
    </w:pPr>
    <w:rPr>
      <w:rFonts w:ascii="Arial Narrow" w:eastAsia="Times New Roman" w:hAnsi="Arial Narrow"/>
      <w:b/>
      <w:spacing w:val="0"/>
      <w:lang w:eastAsia="ar-SA"/>
    </w:rPr>
  </w:style>
  <w:style w:type="paragraph" w:customStyle="1" w:styleId="CVNormal-FirstLine">
    <w:name w:val="CV Normal - First Line"/>
    <w:basedOn w:val="CVNormal"/>
    <w:next w:val="CVNormal"/>
    <w:rsid w:val="00983E2C"/>
    <w:pPr>
      <w:spacing w:before="74"/>
    </w:pPr>
  </w:style>
  <w:style w:type="paragraph" w:styleId="Revize">
    <w:name w:val="Revision"/>
    <w:hidden/>
    <w:uiPriority w:val="99"/>
    <w:semiHidden/>
    <w:rsid w:val="00507A3F"/>
    <w:rPr>
      <w:spacing w:val="4"/>
      <w:sz w:val="22"/>
      <w:lang w:val="cs-CZ" w:bidi="en-US"/>
    </w:rPr>
  </w:style>
  <w:style w:type="paragraph" w:customStyle="1" w:styleId="Text">
    <w:name w:val="Text"/>
    <w:basedOn w:val="Normln"/>
    <w:rsid w:val="00A006A7"/>
    <w:pPr>
      <w:tabs>
        <w:tab w:val="left" w:pos="227"/>
      </w:tabs>
      <w:spacing w:before="0" w:after="0" w:line="220" w:lineRule="exact"/>
    </w:pPr>
    <w:rPr>
      <w:rFonts w:ascii="Book Antiqua" w:eastAsia="Times New Roman" w:hAnsi="Book Antiqua"/>
      <w:color w:val="000000"/>
      <w:spacing w:val="0"/>
      <w:sz w:val="18"/>
      <w:lang w:eastAsia="cs-CZ" w:bidi="ar-SA"/>
    </w:rPr>
  </w:style>
  <w:style w:type="character" w:styleId="slostrnky">
    <w:name w:val="page number"/>
    <w:basedOn w:val="Standardnpsmoodstavce"/>
    <w:uiPriority w:val="99"/>
    <w:unhideWhenUsed/>
    <w:rsid w:val="006B0985"/>
  </w:style>
  <w:style w:type="paragraph" w:styleId="Zkladntext3">
    <w:name w:val="Body Text 3"/>
    <w:basedOn w:val="Normln"/>
    <w:link w:val="Zkladntext3Char"/>
    <w:rsid w:val="001647DF"/>
    <w:pPr>
      <w:spacing w:before="0" w:after="120" w:line="240" w:lineRule="auto"/>
      <w:jc w:val="left"/>
    </w:pPr>
    <w:rPr>
      <w:rFonts w:ascii="Times New Roman" w:eastAsia="Times New Roman" w:hAnsi="Times New Roman"/>
      <w:spacing w:val="0"/>
      <w:sz w:val="16"/>
      <w:szCs w:val="16"/>
      <w:lang w:eastAsia="cs-CZ" w:bidi="ar-SA"/>
    </w:rPr>
  </w:style>
  <w:style w:type="character" w:customStyle="1" w:styleId="Zkladntext3Char">
    <w:name w:val="Základní text 3 Char"/>
    <w:basedOn w:val="Standardnpsmoodstavce"/>
    <w:link w:val="Zkladntext3"/>
    <w:rsid w:val="001647DF"/>
    <w:rPr>
      <w:rFonts w:ascii="Times New Roman" w:eastAsia="Times New Roman" w:hAnsi="Times New Roman"/>
      <w:sz w:val="16"/>
      <w:szCs w:val="16"/>
      <w:lang w:val="cs-CZ" w:eastAsia="cs-CZ"/>
    </w:rPr>
  </w:style>
  <w:style w:type="paragraph" w:customStyle="1" w:styleId="WW-Zkladntext2">
    <w:name w:val="WW-Základní text 2"/>
    <w:basedOn w:val="Normln"/>
    <w:rsid w:val="001647DF"/>
    <w:pPr>
      <w:suppressAutoHyphens/>
      <w:spacing w:before="120" w:after="0" w:line="280" w:lineRule="exact"/>
    </w:pPr>
    <w:rPr>
      <w:rFonts w:ascii="Times New Roman" w:eastAsia="Times New Roman" w:hAnsi="Times New Roman"/>
      <w:spacing w:val="0"/>
      <w:sz w:val="24"/>
      <w:lang w:bidi="ar-SA"/>
    </w:rPr>
  </w:style>
  <w:style w:type="paragraph" w:styleId="Prosttext">
    <w:name w:val="Plain Text"/>
    <w:basedOn w:val="Normln"/>
    <w:link w:val="ProsttextChar"/>
    <w:uiPriority w:val="99"/>
    <w:rsid w:val="005F0A95"/>
    <w:pPr>
      <w:spacing w:before="0" w:after="0" w:line="240" w:lineRule="auto"/>
    </w:pPr>
    <w:rPr>
      <w:rFonts w:ascii="Courier New" w:hAnsi="Courier New"/>
      <w:spacing w:val="0"/>
      <w:sz w:val="20"/>
      <w:lang w:eastAsia="cs-CZ" w:bidi="ar-SA"/>
    </w:rPr>
  </w:style>
  <w:style w:type="character" w:customStyle="1" w:styleId="ProsttextChar">
    <w:name w:val="Prostý text Char"/>
    <w:basedOn w:val="Standardnpsmoodstavce"/>
    <w:link w:val="Prosttext"/>
    <w:uiPriority w:val="99"/>
    <w:rsid w:val="005F0A95"/>
    <w:rPr>
      <w:rFonts w:ascii="Courier New" w:hAnsi="Courier New"/>
      <w:lang w:val="cs-CZ" w:eastAsia="cs-CZ"/>
    </w:rPr>
  </w:style>
  <w:style w:type="character" w:customStyle="1" w:styleId="desitkou-ukazky">
    <w:name w:val="desitkou - ukazky"/>
    <w:basedOn w:val="Standardnpsmoodstavce"/>
    <w:rsid w:val="0053582A"/>
    <w:rPr>
      <w:rFonts w:ascii="Times New Roman" w:hAnsi="Times New Roman"/>
      <w:bCs/>
      <w:sz w:val="20"/>
    </w:rPr>
  </w:style>
  <w:style w:type="paragraph" w:customStyle="1" w:styleId="Aaoeeu">
    <w:name w:val="Aaoeeu"/>
    <w:rsid w:val="002D35EF"/>
    <w:pPr>
      <w:widowControl w:val="0"/>
      <w:suppressAutoHyphens/>
    </w:pPr>
    <w:rPr>
      <w:rFonts w:ascii="Times New Roman" w:eastAsia="Times New Roman" w:hAnsi="Times New Roman"/>
      <w:lang w:eastAsia="ar-SA"/>
    </w:rPr>
  </w:style>
  <w:style w:type="paragraph" w:customStyle="1" w:styleId="Aeeaoaeaa1">
    <w:name w:val="A?eeaoae?aa 1"/>
    <w:basedOn w:val="Aaoeeu"/>
    <w:next w:val="Aaoeeu"/>
    <w:rsid w:val="002D35EF"/>
    <w:pPr>
      <w:keepNext/>
      <w:jc w:val="right"/>
    </w:pPr>
    <w:rPr>
      <w:b/>
    </w:rPr>
  </w:style>
  <w:style w:type="paragraph" w:customStyle="1" w:styleId="Eaoaeaa">
    <w:name w:val="Eaoae?aa"/>
    <w:basedOn w:val="Aaoeeu"/>
    <w:rsid w:val="002D35EF"/>
    <w:pPr>
      <w:tabs>
        <w:tab w:val="center" w:pos="4153"/>
        <w:tab w:val="right" w:pos="8306"/>
      </w:tabs>
    </w:pPr>
  </w:style>
  <w:style w:type="paragraph" w:customStyle="1" w:styleId="OiaeaeiYiio2">
    <w:name w:val="O?ia eaeiYiio 2"/>
    <w:basedOn w:val="Aaoeeu"/>
    <w:rsid w:val="002D35EF"/>
    <w:pPr>
      <w:jc w:val="right"/>
    </w:pPr>
    <w:rPr>
      <w:i/>
      <w:sz w:val="16"/>
    </w:rPr>
  </w:style>
  <w:style w:type="paragraph" w:customStyle="1" w:styleId="Aeeaoaeaa2">
    <w:name w:val="A?eeaoae?aa 2"/>
    <w:basedOn w:val="Aaoeeu"/>
    <w:next w:val="Aaoeeu"/>
    <w:rsid w:val="002D35EF"/>
    <w:pPr>
      <w:keepNext/>
      <w:jc w:val="right"/>
    </w:pPr>
    <w:rPr>
      <w:i/>
    </w:rPr>
  </w:style>
  <w:style w:type="paragraph" w:customStyle="1" w:styleId="Zkladntext21">
    <w:name w:val="Základní text 21"/>
    <w:basedOn w:val="Normln"/>
    <w:rsid w:val="002D35EF"/>
    <w:pPr>
      <w:suppressAutoHyphens/>
      <w:spacing w:before="0" w:after="0" w:line="240" w:lineRule="auto"/>
      <w:jc w:val="left"/>
    </w:pPr>
    <w:rPr>
      <w:rFonts w:ascii="Trebuchet MS" w:eastAsia="Times New Roman" w:hAnsi="Trebuchet MS"/>
      <w:b/>
      <w:bCs/>
      <w:spacing w:val="0"/>
      <w:sz w:val="24"/>
      <w:szCs w:val="24"/>
      <w:lang w:eastAsia="ar-SA" w:bidi="ar-SA"/>
    </w:rPr>
  </w:style>
  <w:style w:type="character" w:styleId="CittHTML">
    <w:name w:val="HTML Cite"/>
    <w:basedOn w:val="Standardnpsmoodstavce"/>
    <w:uiPriority w:val="99"/>
    <w:semiHidden/>
    <w:unhideWhenUsed/>
    <w:rsid w:val="0019528C"/>
    <w:rPr>
      <w:i/>
      <w:iCs/>
    </w:rPr>
  </w:style>
  <w:style w:type="character" w:customStyle="1" w:styleId="TextNOKChar">
    <w:name w:val="Text NOK Char"/>
    <w:link w:val="TextNOK"/>
    <w:rsid w:val="0019528C"/>
    <w:rPr>
      <w:rFonts w:asciiTheme="minorHAnsi" w:eastAsiaTheme="minorHAnsi" w:hAnsiTheme="minorHAnsi" w:cstheme="minorBidi"/>
      <w:sz w:val="22"/>
      <w:szCs w:val="22"/>
      <w:lang w:val="cs-CZ"/>
    </w:rPr>
  </w:style>
  <w:style w:type="paragraph" w:customStyle="1" w:styleId="TextNOK">
    <w:name w:val="Text NOK"/>
    <w:basedOn w:val="Normln"/>
    <w:link w:val="TextNOKChar"/>
    <w:rsid w:val="0019528C"/>
    <w:pPr>
      <w:spacing w:before="120" w:after="120" w:line="312" w:lineRule="auto"/>
    </w:pPr>
    <w:rPr>
      <w:rFonts w:asciiTheme="minorHAnsi" w:eastAsiaTheme="minorHAnsi" w:hAnsiTheme="minorHAnsi" w:cstheme="minorBidi"/>
      <w:spacing w:val="0"/>
      <w:szCs w:val="22"/>
      <w:lang w:bidi="ar-SA"/>
    </w:rPr>
  </w:style>
  <w:style w:type="paragraph" w:customStyle="1" w:styleId="Odstavecseseznamem3">
    <w:name w:val="Odstavec se seznamem3"/>
    <w:basedOn w:val="Normln"/>
    <w:rsid w:val="0019528C"/>
    <w:pPr>
      <w:spacing w:before="0" w:after="0" w:line="240" w:lineRule="auto"/>
      <w:ind w:left="720"/>
    </w:pPr>
    <w:rPr>
      <w:rFonts w:ascii="Times New Roman" w:eastAsia="Times New Roman" w:hAnsi="Times New Roman"/>
      <w:spacing w:val="0"/>
      <w:sz w:val="24"/>
      <w:szCs w:val="24"/>
      <w:lang w:eastAsia="cs-CZ" w:bidi="ar-SA"/>
    </w:rPr>
  </w:style>
  <w:style w:type="table" w:customStyle="1" w:styleId="Mkatabulky10">
    <w:name w:val="Mřížka tabulky1"/>
    <w:basedOn w:val="Normlntabulka"/>
    <w:next w:val="Mkatabulky"/>
    <w:uiPriority w:val="99"/>
    <w:rsid w:val="00337F65"/>
    <w:pPr>
      <w:spacing w:before="200" w:after="120" w:line="276" w:lineRule="auto"/>
    </w:pPr>
    <w:rPr>
      <w:rFonts w:asciiTheme="minorHAnsi" w:eastAsiaTheme="minorEastAsia" w:hAnsiTheme="minorHAnsi" w:cstheme="minorBidi"/>
      <w:sz w:val="22"/>
      <w:szCs w:val="22"/>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dstavce">
    <w:name w:val="Text odstavce"/>
    <w:basedOn w:val="Normln"/>
    <w:rsid w:val="00E851FF"/>
    <w:pPr>
      <w:numPr>
        <w:ilvl w:val="6"/>
        <w:numId w:val="1"/>
      </w:numPr>
      <w:tabs>
        <w:tab w:val="left" w:pos="851"/>
      </w:tabs>
      <w:spacing w:before="120" w:after="120" w:line="240" w:lineRule="auto"/>
      <w:outlineLvl w:val="6"/>
    </w:pPr>
    <w:rPr>
      <w:rFonts w:ascii="Times New Roman" w:eastAsia="Times New Roman" w:hAnsi="Times New Roman"/>
      <w:spacing w:val="0"/>
      <w:sz w:val="24"/>
      <w:lang w:eastAsia="cs-CZ" w:bidi="ar-SA"/>
    </w:rPr>
  </w:style>
  <w:style w:type="paragraph" w:customStyle="1" w:styleId="Textbodu">
    <w:name w:val="Text bodu"/>
    <w:basedOn w:val="Normln"/>
    <w:rsid w:val="00E851FF"/>
    <w:pPr>
      <w:tabs>
        <w:tab w:val="num" w:pos="851"/>
      </w:tabs>
      <w:spacing w:before="0" w:after="0" w:line="240" w:lineRule="auto"/>
      <w:ind w:left="851" w:hanging="426"/>
      <w:outlineLvl w:val="8"/>
    </w:pPr>
    <w:rPr>
      <w:rFonts w:ascii="Times New Roman" w:eastAsia="Times New Roman" w:hAnsi="Times New Roman"/>
      <w:spacing w:val="0"/>
      <w:sz w:val="24"/>
      <w:lang w:eastAsia="cs-CZ" w:bidi="ar-SA"/>
    </w:rPr>
  </w:style>
  <w:style w:type="paragraph" w:customStyle="1" w:styleId="Textpsmene">
    <w:name w:val="Text písmene"/>
    <w:basedOn w:val="Normln"/>
    <w:link w:val="TextpsmeneChar"/>
    <w:uiPriority w:val="99"/>
    <w:rsid w:val="00E851FF"/>
    <w:pPr>
      <w:tabs>
        <w:tab w:val="num" w:pos="425"/>
      </w:tabs>
      <w:spacing w:before="0" w:after="0" w:line="240" w:lineRule="auto"/>
      <w:ind w:left="425" w:hanging="425"/>
      <w:outlineLvl w:val="7"/>
    </w:pPr>
    <w:rPr>
      <w:rFonts w:ascii="Times New Roman" w:eastAsia="Times New Roman" w:hAnsi="Times New Roman"/>
      <w:spacing w:val="0"/>
      <w:sz w:val="24"/>
      <w:lang w:eastAsia="cs-CZ" w:bidi="ar-SA"/>
    </w:rPr>
  </w:style>
  <w:style w:type="character" w:customStyle="1" w:styleId="TextpsmeneChar">
    <w:name w:val="Text písmene Char"/>
    <w:link w:val="Textpsmene"/>
    <w:uiPriority w:val="99"/>
    <w:locked/>
    <w:rsid w:val="00E851FF"/>
    <w:rPr>
      <w:rFonts w:ascii="Times New Roman" w:eastAsia="Times New Roman" w:hAnsi="Times New Roman"/>
      <w:sz w:val="24"/>
      <w:lang w:val="cs-CZ" w:eastAsia="cs-CZ"/>
    </w:rPr>
  </w:style>
  <w:style w:type="character" w:customStyle="1" w:styleId="NormlnodsazenChar">
    <w:name w:val="Normální odsazený Char"/>
    <w:rsid w:val="00E851FF"/>
    <w:rPr>
      <w:rFonts w:eastAsia="MS Mincho"/>
      <w:sz w:val="24"/>
      <w:szCs w:val="24"/>
      <w:lang w:val="cs-CZ" w:eastAsia="ja-JP" w:bidi="ar-SA"/>
    </w:rPr>
  </w:style>
  <w:style w:type="paragraph" w:customStyle="1" w:styleId="Odstavecseseznamem1">
    <w:name w:val="Odstavec se seznamem1"/>
    <w:basedOn w:val="Normln"/>
    <w:link w:val="ListParagraphChar"/>
    <w:qFormat/>
    <w:rsid w:val="00E851FF"/>
    <w:pPr>
      <w:spacing w:before="0" w:after="120" w:line="240" w:lineRule="auto"/>
      <w:ind w:left="708"/>
      <w:jc w:val="left"/>
    </w:pPr>
    <w:rPr>
      <w:rFonts w:ascii="Times New Roman" w:eastAsia="Geneva" w:hAnsi="Times New Roman"/>
      <w:spacing w:val="0"/>
      <w:sz w:val="24"/>
      <w:lang w:eastAsia="cs-CZ" w:bidi="ar-SA"/>
    </w:rPr>
  </w:style>
  <w:style w:type="character" w:customStyle="1" w:styleId="ListParagraphChar">
    <w:name w:val="List Paragraph Char"/>
    <w:link w:val="Odstavecseseznamem1"/>
    <w:locked/>
    <w:rsid w:val="005F15C2"/>
    <w:rPr>
      <w:rFonts w:ascii="Times New Roman" w:eastAsia="Geneva" w:hAnsi="Times New Roman"/>
      <w:sz w:val="24"/>
      <w:lang w:val="cs-CZ" w:eastAsia="cs-CZ"/>
    </w:rPr>
  </w:style>
  <w:style w:type="paragraph" w:customStyle="1" w:styleId="Standardntext">
    <w:name w:val="Standardní text"/>
    <w:basedOn w:val="Normln"/>
    <w:link w:val="StandardntextChar"/>
    <w:qFormat/>
    <w:rsid w:val="00E851FF"/>
    <w:pPr>
      <w:overflowPunct w:val="0"/>
      <w:autoSpaceDE w:val="0"/>
      <w:autoSpaceDN w:val="0"/>
      <w:adjustRightInd w:val="0"/>
      <w:spacing w:before="0" w:after="240" w:line="240" w:lineRule="auto"/>
      <w:textAlignment w:val="baseline"/>
    </w:pPr>
    <w:rPr>
      <w:rFonts w:eastAsia="Times New Roman" w:cs="Calibri"/>
      <w:spacing w:val="0"/>
      <w:sz w:val="24"/>
      <w:szCs w:val="24"/>
      <w:lang w:eastAsia="cs-CZ" w:bidi="ar-SA"/>
    </w:rPr>
  </w:style>
  <w:style w:type="character" w:customStyle="1" w:styleId="StandardntextChar">
    <w:name w:val="Standardní text Char"/>
    <w:basedOn w:val="Standardnpsmoodstavce"/>
    <w:link w:val="Standardntext"/>
    <w:rsid w:val="00E851FF"/>
    <w:rPr>
      <w:rFonts w:eastAsia="Times New Roman" w:cs="Calibri"/>
      <w:sz w:val="24"/>
      <w:szCs w:val="24"/>
      <w:lang w:val="cs-CZ" w:eastAsia="cs-CZ"/>
    </w:rPr>
  </w:style>
  <w:style w:type="paragraph" w:customStyle="1" w:styleId="dkanormln">
    <w:name w:val="Øádka normální"/>
    <w:basedOn w:val="Normln"/>
    <w:rsid w:val="00E851FF"/>
    <w:pPr>
      <w:spacing w:before="0" w:after="0" w:line="240" w:lineRule="auto"/>
    </w:pPr>
    <w:rPr>
      <w:rFonts w:ascii="Times New Roman" w:eastAsia="Times New Roman" w:hAnsi="Times New Roman"/>
      <w:spacing w:val="0"/>
      <w:kern w:val="16"/>
      <w:sz w:val="24"/>
      <w:lang w:eastAsia="cs-CZ" w:bidi="ar-SA"/>
    </w:rPr>
  </w:style>
  <w:style w:type="paragraph" w:customStyle="1" w:styleId="Nadpis11">
    <w:name w:val="Nadpis 11"/>
    <w:basedOn w:val="Normln"/>
    <w:next w:val="Normln"/>
    <w:rsid w:val="00090135"/>
    <w:pPr>
      <w:keepNext/>
      <w:widowControl w:val="0"/>
      <w:suppressAutoHyphens/>
      <w:spacing w:before="0" w:after="0" w:line="240" w:lineRule="auto"/>
      <w:jc w:val="center"/>
    </w:pPr>
    <w:rPr>
      <w:rFonts w:ascii="Times New Roman" w:eastAsia="Times New Roman" w:hAnsi="Times New Roman"/>
      <w:b/>
      <w:bCs/>
      <w:spacing w:val="0"/>
      <w:sz w:val="24"/>
      <w:szCs w:val="24"/>
      <w:lang w:bidi="ar-SA"/>
    </w:rPr>
  </w:style>
  <w:style w:type="paragraph" w:customStyle="1" w:styleId="Nadpis21">
    <w:name w:val="Nadpis 21"/>
    <w:basedOn w:val="Normln"/>
    <w:next w:val="Normln"/>
    <w:rsid w:val="00090135"/>
    <w:pPr>
      <w:keepNext/>
      <w:widowControl w:val="0"/>
      <w:suppressAutoHyphens/>
      <w:spacing w:before="0" w:after="0" w:line="240" w:lineRule="auto"/>
      <w:jc w:val="center"/>
    </w:pPr>
    <w:rPr>
      <w:rFonts w:ascii="Times New Roman" w:eastAsia="Times New Roman" w:hAnsi="Times New Roman"/>
      <w:b/>
      <w:bCs/>
      <w:spacing w:val="0"/>
      <w:sz w:val="24"/>
      <w:szCs w:val="24"/>
      <w:lang w:bidi="ar-SA"/>
    </w:rPr>
  </w:style>
  <w:style w:type="paragraph" w:styleId="Textvbloku">
    <w:name w:val="Block Text"/>
    <w:basedOn w:val="Normln"/>
    <w:rsid w:val="00090135"/>
    <w:pPr>
      <w:spacing w:before="0" w:after="283" w:line="240" w:lineRule="auto"/>
      <w:ind w:left="714" w:right="357" w:hanging="357"/>
    </w:pPr>
    <w:rPr>
      <w:rFonts w:ascii="Times New Roman" w:eastAsia="Times New Roman" w:hAnsi="Times New Roman"/>
      <w:spacing w:val="0"/>
      <w:sz w:val="24"/>
      <w:szCs w:val="24"/>
      <w:lang w:eastAsia="cs-CZ" w:bidi="ar-SA"/>
    </w:rPr>
  </w:style>
  <w:style w:type="paragraph" w:customStyle="1" w:styleId="TextnormlnslovanChar">
    <w:name w:val="Text normální číslovaný Char"/>
    <w:basedOn w:val="Normln"/>
    <w:next w:val="Text"/>
    <w:link w:val="TextnormlnslovanCharChar"/>
    <w:rsid w:val="00090135"/>
    <w:pPr>
      <w:tabs>
        <w:tab w:val="num" w:pos="170"/>
      </w:tabs>
      <w:spacing w:before="60" w:after="80" w:line="240" w:lineRule="auto"/>
      <w:ind w:left="170"/>
      <w:jc w:val="left"/>
    </w:pPr>
    <w:rPr>
      <w:rFonts w:ascii="Arial" w:eastAsia="Times New Roman" w:hAnsi="Arial"/>
      <w:bCs/>
      <w:snapToGrid w:val="0"/>
      <w:spacing w:val="0"/>
      <w:sz w:val="20"/>
      <w:szCs w:val="17"/>
      <w:lang w:bidi="ar-SA"/>
    </w:rPr>
  </w:style>
  <w:style w:type="character" w:customStyle="1" w:styleId="TextnormlnslovanCharChar">
    <w:name w:val="Text normální číslovaný Char Char"/>
    <w:link w:val="TextnormlnslovanChar"/>
    <w:rsid w:val="00090135"/>
    <w:rPr>
      <w:rFonts w:ascii="Arial" w:eastAsia="Times New Roman" w:hAnsi="Arial"/>
      <w:bCs/>
      <w:snapToGrid w:val="0"/>
      <w:szCs w:val="17"/>
    </w:rPr>
  </w:style>
  <w:style w:type="character" w:customStyle="1" w:styleId="eaddress">
    <w:name w:val="eaddress"/>
    <w:basedOn w:val="Standardnpsmoodstavce"/>
    <w:rsid w:val="00B54222"/>
  </w:style>
  <w:style w:type="paragraph" w:customStyle="1" w:styleId="Normlnslovan">
    <w:name w:val="Normální číslovaný"/>
    <w:basedOn w:val="Normln"/>
    <w:rsid w:val="003C5E5F"/>
    <w:pPr>
      <w:tabs>
        <w:tab w:val="num" w:pos="432"/>
      </w:tabs>
      <w:spacing w:before="0" w:after="120" w:line="240" w:lineRule="auto"/>
      <w:ind w:left="432" w:hanging="432"/>
      <w:jc w:val="left"/>
    </w:pPr>
    <w:rPr>
      <w:rFonts w:ascii="Times New Roman" w:eastAsia="Times New Roman" w:hAnsi="Times New Roman"/>
      <w:spacing w:val="0"/>
      <w:szCs w:val="24"/>
      <w:lang w:eastAsia="cs-CZ" w:bidi="ar-SA"/>
    </w:rPr>
  </w:style>
  <w:style w:type="paragraph" w:customStyle="1" w:styleId="Normlnvlevo">
    <w:name w:val="Normální vlevo"/>
    <w:basedOn w:val="Normln"/>
    <w:link w:val="NormlnvlevoChar"/>
    <w:uiPriority w:val="99"/>
    <w:rsid w:val="003C5E5F"/>
    <w:pPr>
      <w:spacing w:before="0" w:after="0" w:line="240" w:lineRule="auto"/>
    </w:pPr>
    <w:rPr>
      <w:rFonts w:ascii="Arial" w:eastAsia="Times New Roman" w:hAnsi="Arial"/>
      <w:spacing w:val="0"/>
      <w:lang w:bidi="ar-SA"/>
    </w:rPr>
  </w:style>
  <w:style w:type="character" w:customStyle="1" w:styleId="NormlnvlevoChar">
    <w:name w:val="Normální vlevo Char"/>
    <w:link w:val="Normlnvlevo"/>
    <w:uiPriority w:val="99"/>
    <w:locked/>
    <w:rsid w:val="003C5E5F"/>
    <w:rPr>
      <w:rFonts w:ascii="Arial" w:eastAsia="Times New Roman" w:hAnsi="Arial"/>
      <w:sz w:val="22"/>
    </w:rPr>
  </w:style>
  <w:style w:type="paragraph" w:customStyle="1" w:styleId="Tunvlevo">
    <w:name w:val="Tučné vlevo"/>
    <w:basedOn w:val="Normln"/>
    <w:link w:val="TunvlevoChar"/>
    <w:autoRedefine/>
    <w:uiPriority w:val="99"/>
    <w:rsid w:val="003C5E5F"/>
    <w:pPr>
      <w:spacing w:before="0" w:after="0" w:line="280" w:lineRule="atLeast"/>
      <w:jc w:val="left"/>
    </w:pPr>
    <w:rPr>
      <w:rFonts w:ascii="Arial" w:eastAsia="Times New Roman" w:hAnsi="Arial"/>
      <w:spacing w:val="0"/>
      <w:sz w:val="20"/>
      <w:lang w:bidi="ar-SA"/>
    </w:rPr>
  </w:style>
  <w:style w:type="character" w:customStyle="1" w:styleId="TunvlevoChar">
    <w:name w:val="Tučné vlevo Char"/>
    <w:link w:val="Tunvlevo"/>
    <w:uiPriority w:val="99"/>
    <w:locked/>
    <w:rsid w:val="003C5E5F"/>
    <w:rPr>
      <w:rFonts w:ascii="Arial" w:eastAsia="Times New Roman" w:hAnsi="Arial"/>
    </w:rPr>
  </w:style>
  <w:style w:type="paragraph" w:customStyle="1" w:styleId="Kurzvatunvlevo">
    <w:name w:val="Kurzíva tučná vlevo"/>
    <w:basedOn w:val="Normlnvlevo"/>
    <w:link w:val="KurzvatunvlevoCharChar"/>
    <w:uiPriority w:val="99"/>
    <w:rsid w:val="003C5E5F"/>
    <w:rPr>
      <w:b/>
      <w:i/>
    </w:rPr>
  </w:style>
  <w:style w:type="character" w:customStyle="1" w:styleId="KurzvatunvlevoCharChar">
    <w:name w:val="Kurzíva tučná vlevo Char Char"/>
    <w:link w:val="Kurzvatunvlevo"/>
    <w:uiPriority w:val="99"/>
    <w:locked/>
    <w:rsid w:val="003C5E5F"/>
    <w:rPr>
      <w:rFonts w:ascii="Arial" w:eastAsia="Times New Roman" w:hAnsi="Arial"/>
      <w:b/>
      <w:i/>
      <w:sz w:val="22"/>
    </w:rPr>
  </w:style>
  <w:style w:type="paragraph" w:customStyle="1" w:styleId="NZEV0">
    <w:name w:val="NÁZEV"/>
    <w:basedOn w:val="Obsah1"/>
    <w:rsid w:val="00F32C13"/>
    <w:pPr>
      <w:tabs>
        <w:tab w:val="clear" w:pos="9060"/>
      </w:tabs>
      <w:spacing w:before="0" w:after="100" w:line="240" w:lineRule="auto"/>
    </w:pPr>
    <w:rPr>
      <w:rFonts w:ascii="Arial" w:eastAsia="Times New Roman" w:hAnsi="Arial"/>
      <w:b w:val="0"/>
      <w:bCs w:val="0"/>
      <w:caps w:val="0"/>
      <w:spacing w:val="0"/>
      <w:sz w:val="20"/>
      <w:szCs w:val="24"/>
      <w:lang w:eastAsia="cs-CZ" w:bidi="ar-SA"/>
    </w:rPr>
  </w:style>
  <w:style w:type="paragraph" w:customStyle="1" w:styleId="article-perex">
    <w:name w:val="article-perex"/>
    <w:basedOn w:val="Normln"/>
    <w:rsid w:val="007638D7"/>
    <w:pPr>
      <w:spacing w:before="100" w:beforeAutospacing="1" w:after="100" w:afterAutospacing="1" w:line="240" w:lineRule="auto"/>
      <w:jc w:val="left"/>
    </w:pPr>
    <w:rPr>
      <w:rFonts w:ascii="Times New Roman" w:eastAsia="Times New Roman" w:hAnsi="Times New Roman"/>
      <w:spacing w:val="0"/>
      <w:sz w:val="24"/>
      <w:szCs w:val="24"/>
      <w:lang w:eastAsia="cs-CZ" w:bidi="ar-SA"/>
    </w:rPr>
  </w:style>
  <w:style w:type="character" w:customStyle="1" w:styleId="hword">
    <w:name w:val="h_word"/>
    <w:basedOn w:val="Standardnpsmoodstavce"/>
    <w:rsid w:val="007638D7"/>
  </w:style>
  <w:style w:type="paragraph" w:styleId="Zkladntextodsazen">
    <w:name w:val="Body Text Indent"/>
    <w:basedOn w:val="Normln"/>
    <w:link w:val="ZkladntextodsazenChar"/>
    <w:uiPriority w:val="99"/>
    <w:rsid w:val="005F15C2"/>
    <w:pPr>
      <w:spacing w:before="0" w:after="120" w:line="240" w:lineRule="auto"/>
      <w:ind w:left="283"/>
      <w:jc w:val="left"/>
    </w:pPr>
    <w:rPr>
      <w:rFonts w:ascii="Times New Roman" w:eastAsia="Times New Roman" w:hAnsi="Times New Roman"/>
      <w:spacing w:val="0"/>
      <w:sz w:val="24"/>
      <w:szCs w:val="24"/>
      <w:lang w:bidi="ar-SA"/>
    </w:rPr>
  </w:style>
  <w:style w:type="character" w:customStyle="1" w:styleId="ZkladntextodsazenChar">
    <w:name w:val="Základní text odsazený Char"/>
    <w:basedOn w:val="Standardnpsmoodstavce"/>
    <w:link w:val="Zkladntextodsazen"/>
    <w:uiPriority w:val="99"/>
    <w:rsid w:val="005F15C2"/>
    <w:rPr>
      <w:rFonts w:ascii="Times New Roman" w:eastAsia="Times New Roman" w:hAnsi="Times New Roman"/>
      <w:sz w:val="24"/>
      <w:szCs w:val="24"/>
      <w:lang w:val="cs-CZ"/>
    </w:rPr>
  </w:style>
  <w:style w:type="paragraph" w:customStyle="1" w:styleId="Normln11">
    <w:name w:val="Normální 11"/>
    <w:basedOn w:val="Normln"/>
    <w:rsid w:val="005F15C2"/>
    <w:pPr>
      <w:spacing w:before="0" w:after="0" w:line="240" w:lineRule="auto"/>
      <w:jc w:val="left"/>
    </w:pPr>
    <w:rPr>
      <w:rFonts w:ascii="Arial" w:eastAsia="Times New Roman" w:hAnsi="Arial"/>
      <w:spacing w:val="0"/>
      <w:szCs w:val="24"/>
      <w:lang w:eastAsia="cs-CZ" w:bidi="ar-SA"/>
    </w:rPr>
  </w:style>
  <w:style w:type="character" w:customStyle="1" w:styleId="st">
    <w:name w:val="st"/>
    <w:basedOn w:val="Standardnpsmoodstavce"/>
    <w:rsid w:val="005F15C2"/>
  </w:style>
  <w:style w:type="paragraph" w:customStyle="1" w:styleId="Odstavecseseznamem2">
    <w:name w:val="Odstavec se seznamem2"/>
    <w:basedOn w:val="Normln"/>
    <w:rsid w:val="005F15C2"/>
    <w:pPr>
      <w:spacing w:before="0"/>
      <w:ind w:left="720"/>
      <w:contextualSpacing/>
      <w:jc w:val="left"/>
    </w:pPr>
    <w:rPr>
      <w:rFonts w:eastAsia="Times New Roman"/>
      <w:spacing w:val="0"/>
      <w:szCs w:val="22"/>
      <w:lang w:val="en-GB" w:bidi="ar-SA"/>
    </w:rPr>
  </w:style>
  <w:style w:type="character" w:customStyle="1" w:styleId="TextkomenteChar1">
    <w:name w:val="Text komentáře Char1"/>
    <w:basedOn w:val="Standardnpsmoodstavce"/>
    <w:locked/>
    <w:rsid w:val="005F15C2"/>
    <w:rPr>
      <w:rFonts w:ascii="Arial" w:hAnsi="Arial" w:cs="Arial"/>
    </w:rPr>
  </w:style>
  <w:style w:type="paragraph" w:styleId="Seznamsodrkami">
    <w:name w:val="List Bullet"/>
    <w:basedOn w:val="Normln"/>
    <w:autoRedefine/>
    <w:rsid w:val="005F15C2"/>
    <w:pPr>
      <w:shd w:val="clear" w:color="auto" w:fill="D9D9D9"/>
      <w:spacing w:before="240" w:after="120" w:line="240" w:lineRule="auto"/>
    </w:pPr>
    <w:rPr>
      <w:rFonts w:ascii="Arial" w:eastAsia="Times New Roman" w:hAnsi="Arial" w:cs="Arial"/>
      <w:b/>
      <w:bCs/>
      <w:color w:val="000000"/>
      <w:spacing w:val="0"/>
      <w:sz w:val="18"/>
      <w:szCs w:val="18"/>
      <w:lang w:eastAsia="cs-CZ" w:bidi="ar-SA"/>
    </w:rPr>
  </w:style>
  <w:style w:type="paragraph" w:styleId="Seznamsodrkami2">
    <w:name w:val="List Bullet 2"/>
    <w:basedOn w:val="Normln"/>
    <w:autoRedefine/>
    <w:rsid w:val="005F15C2"/>
    <w:pPr>
      <w:numPr>
        <w:ilvl w:val="1"/>
        <w:numId w:val="2"/>
      </w:numPr>
      <w:tabs>
        <w:tab w:val="left" w:pos="1800"/>
      </w:tabs>
      <w:spacing w:before="120" w:after="0" w:line="240" w:lineRule="auto"/>
    </w:pPr>
    <w:rPr>
      <w:rFonts w:ascii="Arial" w:eastAsia="Times New Roman" w:hAnsi="Arial"/>
      <w:spacing w:val="0"/>
      <w:sz w:val="18"/>
      <w:szCs w:val="18"/>
      <w:lang w:eastAsia="cs-CZ" w:bidi="ar-SA"/>
    </w:rPr>
  </w:style>
  <w:style w:type="character" w:customStyle="1" w:styleId="Zkladntext3Char1">
    <w:name w:val="Základní text 3 Char1"/>
    <w:basedOn w:val="Standardnpsmoodstavce"/>
    <w:rsid w:val="005F15C2"/>
    <w:rPr>
      <w:rFonts w:ascii="Arial" w:eastAsia="Times New Roman" w:hAnsi="Arial" w:cs="Arial"/>
      <w:color w:val="FF0000"/>
      <w:sz w:val="20"/>
      <w:szCs w:val="24"/>
      <w:lang w:eastAsia="cs-CZ"/>
    </w:rPr>
  </w:style>
  <w:style w:type="character" w:customStyle="1" w:styleId="Zkladntextodsazen2Char">
    <w:name w:val="Základní text odsazený 2 Char"/>
    <w:uiPriority w:val="99"/>
    <w:locked/>
    <w:rsid w:val="005F15C2"/>
    <w:rPr>
      <w:sz w:val="24"/>
      <w:szCs w:val="24"/>
      <w:lang w:val="cs-CZ" w:eastAsia="en-US" w:bidi="ar-SA"/>
    </w:rPr>
  </w:style>
  <w:style w:type="character" w:customStyle="1" w:styleId="Zkladntextodsazen2Char1">
    <w:name w:val="Základní text odsazený 2 Char1"/>
    <w:basedOn w:val="Standardnpsmoodstavce"/>
    <w:link w:val="Zkladntextodsazen2"/>
    <w:rsid w:val="005F15C2"/>
    <w:rPr>
      <w:rFonts w:ascii="Times New Roman" w:eastAsia="Times New Roman" w:hAnsi="Times New Roman"/>
      <w:sz w:val="24"/>
      <w:szCs w:val="24"/>
      <w:lang w:val="cs-CZ"/>
    </w:rPr>
  </w:style>
  <w:style w:type="paragraph" w:styleId="Zkladntextodsazen2">
    <w:name w:val="Body Text Indent 2"/>
    <w:basedOn w:val="Normln"/>
    <w:link w:val="Zkladntextodsazen2Char1"/>
    <w:rsid w:val="005F15C2"/>
    <w:pPr>
      <w:spacing w:before="0" w:after="0" w:line="240" w:lineRule="auto"/>
      <w:ind w:firstLine="360"/>
    </w:pPr>
    <w:rPr>
      <w:rFonts w:ascii="Times New Roman" w:eastAsia="Times New Roman" w:hAnsi="Times New Roman"/>
      <w:spacing w:val="0"/>
      <w:sz w:val="24"/>
      <w:szCs w:val="24"/>
      <w:lang w:bidi="ar-SA"/>
    </w:rPr>
  </w:style>
  <w:style w:type="character" w:customStyle="1" w:styleId="Zkladntextodsazen3Char">
    <w:name w:val="Základní text odsazený 3 Char"/>
    <w:locked/>
    <w:rsid w:val="005F15C2"/>
    <w:rPr>
      <w:rFonts w:ascii="Arial" w:hAnsi="Arial" w:cs="Arial"/>
      <w:color w:val="0000FF"/>
      <w:sz w:val="24"/>
      <w:szCs w:val="24"/>
      <w:lang w:val="cs-CZ" w:eastAsia="en-US" w:bidi="ar-SA"/>
    </w:rPr>
  </w:style>
  <w:style w:type="character" w:customStyle="1" w:styleId="Zkladntextodsazen3Char1">
    <w:name w:val="Základní text odsazený 3 Char1"/>
    <w:basedOn w:val="Standardnpsmoodstavce"/>
    <w:link w:val="Zkladntextodsazen3"/>
    <w:semiHidden/>
    <w:rsid w:val="005F15C2"/>
    <w:rPr>
      <w:rFonts w:ascii="Arial" w:eastAsia="Times New Roman" w:hAnsi="Arial" w:cs="Arial"/>
      <w:color w:val="0000FF"/>
      <w:sz w:val="24"/>
      <w:szCs w:val="24"/>
      <w:lang w:val="cs-CZ"/>
    </w:rPr>
  </w:style>
  <w:style w:type="paragraph" w:styleId="Zkladntextodsazen3">
    <w:name w:val="Body Text Indent 3"/>
    <w:basedOn w:val="Normln"/>
    <w:link w:val="Zkladntextodsazen3Char1"/>
    <w:semiHidden/>
    <w:rsid w:val="005F15C2"/>
    <w:pPr>
      <w:widowControl w:val="0"/>
      <w:autoSpaceDE w:val="0"/>
      <w:autoSpaceDN w:val="0"/>
      <w:adjustRightInd w:val="0"/>
      <w:spacing w:before="0" w:after="0" w:line="240" w:lineRule="auto"/>
      <w:ind w:firstLine="360"/>
    </w:pPr>
    <w:rPr>
      <w:rFonts w:ascii="Arial" w:eastAsia="Times New Roman" w:hAnsi="Arial" w:cs="Arial"/>
      <w:color w:val="0000FF"/>
      <w:spacing w:val="0"/>
      <w:sz w:val="24"/>
      <w:szCs w:val="24"/>
      <w:lang w:bidi="ar-SA"/>
    </w:rPr>
  </w:style>
  <w:style w:type="character" w:customStyle="1" w:styleId="RozloendokumentuChar">
    <w:name w:val="Rozložení dokumentu Char"/>
    <w:basedOn w:val="Standardnpsmoodstavce"/>
    <w:link w:val="Rozloendokumentu"/>
    <w:semiHidden/>
    <w:rsid w:val="005F15C2"/>
    <w:rPr>
      <w:rFonts w:ascii="Tahoma" w:eastAsia="Times New Roman" w:hAnsi="Tahoma" w:cs="Tahoma"/>
      <w:shd w:val="clear" w:color="auto" w:fill="000080"/>
      <w:lang w:val="cs-CZ" w:eastAsia="cs-CZ"/>
    </w:rPr>
  </w:style>
  <w:style w:type="paragraph" w:styleId="Rozloendokumentu">
    <w:name w:val="Document Map"/>
    <w:basedOn w:val="Normln"/>
    <w:link w:val="RozloendokumentuChar"/>
    <w:semiHidden/>
    <w:rsid w:val="005F15C2"/>
    <w:pPr>
      <w:shd w:val="clear" w:color="auto" w:fill="000080"/>
      <w:spacing w:before="0" w:after="0" w:line="240" w:lineRule="auto"/>
    </w:pPr>
    <w:rPr>
      <w:rFonts w:ascii="Tahoma" w:eastAsia="Times New Roman" w:hAnsi="Tahoma" w:cs="Tahoma"/>
      <w:spacing w:val="0"/>
      <w:sz w:val="20"/>
      <w:lang w:eastAsia="cs-CZ" w:bidi="ar-SA"/>
    </w:rPr>
  </w:style>
  <w:style w:type="character" w:customStyle="1" w:styleId="ProsttextChar1">
    <w:name w:val="Prostý text Char1"/>
    <w:basedOn w:val="Standardnpsmoodstavce"/>
    <w:uiPriority w:val="99"/>
    <w:rsid w:val="005F15C2"/>
    <w:rPr>
      <w:rFonts w:ascii="Courier New" w:eastAsia="Times New Roman" w:hAnsi="Courier New" w:cs="Courier New"/>
      <w:sz w:val="20"/>
      <w:szCs w:val="20"/>
      <w:lang w:eastAsia="cs-CZ"/>
    </w:rPr>
  </w:style>
  <w:style w:type="paragraph" w:customStyle="1" w:styleId="Nzevprojektu">
    <w:name w:val="Název projektu"/>
    <w:basedOn w:val="Normln"/>
    <w:rsid w:val="005F15C2"/>
    <w:pPr>
      <w:spacing w:before="0" w:after="0" w:line="240" w:lineRule="auto"/>
      <w:jc w:val="center"/>
    </w:pPr>
    <w:rPr>
      <w:rFonts w:ascii="Arial" w:eastAsia="Times New Roman" w:hAnsi="Arial"/>
      <w:b/>
      <w:color w:val="000080"/>
      <w:spacing w:val="0"/>
      <w:sz w:val="36"/>
      <w:szCs w:val="24"/>
      <w:lang w:eastAsia="cs-CZ" w:bidi="ar-SA"/>
    </w:rPr>
  </w:style>
  <w:style w:type="paragraph" w:customStyle="1" w:styleId="Normln12">
    <w:name w:val="Normální 12"/>
    <w:basedOn w:val="Normln"/>
    <w:rsid w:val="005F15C2"/>
    <w:pPr>
      <w:spacing w:before="0" w:after="0" w:line="240" w:lineRule="auto"/>
    </w:pPr>
    <w:rPr>
      <w:rFonts w:ascii="Arial" w:eastAsia="Times New Roman" w:hAnsi="Arial"/>
      <w:b/>
      <w:spacing w:val="0"/>
      <w:sz w:val="24"/>
      <w:szCs w:val="24"/>
      <w:lang w:eastAsia="cs-CZ" w:bidi="ar-SA"/>
    </w:rPr>
  </w:style>
  <w:style w:type="paragraph" w:customStyle="1" w:styleId="bntext">
    <w:name w:val="běžný text"/>
    <w:basedOn w:val="Nadpis1"/>
    <w:rsid w:val="005F15C2"/>
    <w:pPr>
      <w:pBdr>
        <w:top w:val="none" w:sz="0" w:space="0" w:color="auto"/>
        <w:left w:val="none" w:sz="0" w:space="0" w:color="auto"/>
      </w:pBdr>
      <w:shd w:val="clear" w:color="auto" w:fill="auto"/>
      <w:tabs>
        <w:tab w:val="left" w:pos="0"/>
      </w:tabs>
      <w:spacing w:before="0" w:after="0" w:line="240" w:lineRule="auto"/>
      <w:jc w:val="left"/>
    </w:pPr>
    <w:rPr>
      <w:rFonts w:ascii="Arial" w:eastAsia="Times New Roman" w:hAnsi="Arial"/>
      <w:b w:val="0"/>
      <w:color w:val="FFFFFF" w:themeColor="background1"/>
      <w:spacing w:val="0"/>
      <w:sz w:val="22"/>
      <w:szCs w:val="20"/>
      <w:lang w:eastAsia="cs-CZ" w:bidi="ar-SA"/>
    </w:rPr>
  </w:style>
  <w:style w:type="paragraph" w:customStyle="1" w:styleId="NormlnOdsazen">
    <w:name w:val="Normální  + Odsazení"/>
    <w:basedOn w:val="Normln"/>
    <w:rsid w:val="005F15C2"/>
    <w:pPr>
      <w:numPr>
        <w:numId w:val="3"/>
      </w:numPr>
      <w:spacing w:before="0" w:after="120" w:line="240" w:lineRule="auto"/>
    </w:pPr>
    <w:rPr>
      <w:rFonts w:ascii="Arial" w:eastAsia="Times New Roman" w:hAnsi="Arial"/>
      <w:spacing w:val="0"/>
      <w:sz w:val="20"/>
      <w:szCs w:val="24"/>
      <w:lang w:eastAsia="cs-CZ" w:bidi="ar-SA"/>
    </w:rPr>
  </w:style>
  <w:style w:type="paragraph" w:customStyle="1" w:styleId="1Nadpisbod">
    <w:name w:val="1. Nadpis bodů"/>
    <w:basedOn w:val="Nadpis1"/>
    <w:rsid w:val="005F15C2"/>
    <w:pPr>
      <w:pageBreakBefore/>
      <w:numPr>
        <w:numId w:val="4"/>
      </w:numPr>
      <w:pBdr>
        <w:top w:val="none" w:sz="0" w:space="0" w:color="auto"/>
        <w:left w:val="none" w:sz="0" w:space="0" w:color="auto"/>
      </w:pBdr>
      <w:shd w:val="clear" w:color="auto" w:fill="auto"/>
      <w:tabs>
        <w:tab w:val="left" w:pos="0"/>
        <w:tab w:val="num" w:pos="643"/>
      </w:tabs>
      <w:spacing w:before="0" w:after="0" w:line="240" w:lineRule="auto"/>
      <w:jc w:val="left"/>
    </w:pPr>
    <w:rPr>
      <w:rFonts w:ascii="Arial" w:eastAsia="Times New Roman" w:hAnsi="Arial" w:cs="Arial"/>
      <w:bCs w:val="0"/>
      <w:i/>
      <w:color w:val="FFFFFF" w:themeColor="background1"/>
      <w:spacing w:val="0"/>
      <w:sz w:val="40"/>
      <w:lang w:eastAsia="cs-CZ" w:bidi="ar-SA"/>
    </w:rPr>
  </w:style>
  <w:style w:type="paragraph" w:customStyle="1" w:styleId="111podnadpispodbod">
    <w:name w:val="1.1.1 podnadpis podbodů"/>
    <w:basedOn w:val="bntext"/>
    <w:rsid w:val="005F15C2"/>
    <w:pPr>
      <w:numPr>
        <w:ilvl w:val="2"/>
        <w:numId w:val="4"/>
      </w:numPr>
      <w:tabs>
        <w:tab w:val="num" w:pos="643"/>
      </w:tabs>
    </w:pPr>
    <w:rPr>
      <w:b/>
      <w:sz w:val="28"/>
    </w:rPr>
  </w:style>
  <w:style w:type="paragraph" w:customStyle="1" w:styleId="11nadpispodbod">
    <w:name w:val="1.1 nadpis podbodů"/>
    <w:basedOn w:val="Normln"/>
    <w:rsid w:val="005F15C2"/>
    <w:pPr>
      <w:numPr>
        <w:ilvl w:val="1"/>
        <w:numId w:val="4"/>
      </w:numPr>
      <w:spacing w:before="0" w:after="0" w:line="240" w:lineRule="auto"/>
      <w:jc w:val="left"/>
    </w:pPr>
    <w:rPr>
      <w:rFonts w:ascii="Arial" w:eastAsia="Times New Roman" w:hAnsi="Arial"/>
      <w:b/>
      <w:spacing w:val="0"/>
      <w:sz w:val="36"/>
      <w:lang w:eastAsia="cs-CZ" w:bidi="ar-SA"/>
    </w:rPr>
  </w:style>
  <w:style w:type="paragraph" w:customStyle="1" w:styleId="font5">
    <w:name w:val="font5"/>
    <w:basedOn w:val="Normln"/>
    <w:rsid w:val="005F15C2"/>
    <w:pPr>
      <w:tabs>
        <w:tab w:val="left" w:pos="370"/>
      </w:tabs>
      <w:spacing w:before="40" w:after="0" w:line="240" w:lineRule="auto"/>
      <w:ind w:left="369" w:hanging="369"/>
      <w:jc w:val="left"/>
    </w:pPr>
    <w:rPr>
      <w:rFonts w:ascii="Arial" w:eastAsia="Times New Roman" w:hAnsi="Arial" w:cs="Arial"/>
      <w:color w:val="FF0000"/>
      <w:spacing w:val="0"/>
      <w:sz w:val="20"/>
      <w:lang w:bidi="ar-SA"/>
    </w:rPr>
  </w:style>
  <w:style w:type="paragraph" w:customStyle="1" w:styleId="normln0">
    <w:name w:val="normální"/>
    <w:basedOn w:val="Normln"/>
    <w:rsid w:val="005F15C2"/>
    <w:pPr>
      <w:tabs>
        <w:tab w:val="num" w:pos="360"/>
      </w:tabs>
      <w:spacing w:before="0" w:after="120" w:line="240" w:lineRule="auto"/>
    </w:pPr>
    <w:rPr>
      <w:rFonts w:ascii="Dynamo RE CE" w:eastAsia="Times New Roman" w:hAnsi="Dynamo RE CE"/>
      <w:spacing w:val="0"/>
      <w:sz w:val="24"/>
      <w:lang w:eastAsia="cs-CZ" w:bidi="ar-SA"/>
    </w:rPr>
  </w:style>
  <w:style w:type="paragraph" w:customStyle="1" w:styleId="NormalJustified">
    <w:name w:val="Normal (Justified)"/>
    <w:basedOn w:val="Normln"/>
    <w:uiPriority w:val="99"/>
    <w:rsid w:val="005F15C2"/>
    <w:pPr>
      <w:widowControl w:val="0"/>
      <w:spacing w:before="0" w:after="0" w:line="240" w:lineRule="auto"/>
    </w:pPr>
    <w:rPr>
      <w:rFonts w:ascii="Times New Roman" w:eastAsia="Times New Roman" w:hAnsi="Times New Roman"/>
      <w:spacing w:val="0"/>
      <w:kern w:val="28"/>
      <w:sz w:val="24"/>
      <w:lang w:eastAsia="cs-CZ" w:bidi="ar-SA"/>
    </w:rPr>
  </w:style>
  <w:style w:type="paragraph" w:customStyle="1" w:styleId="Section">
    <w:name w:val="Section"/>
    <w:basedOn w:val="Normln"/>
    <w:rsid w:val="005F15C2"/>
    <w:pPr>
      <w:widowControl w:val="0"/>
      <w:spacing w:before="0" w:after="0" w:line="360" w:lineRule="exact"/>
      <w:jc w:val="center"/>
    </w:pPr>
    <w:rPr>
      <w:rFonts w:ascii="Arial" w:eastAsia="Times New Roman" w:hAnsi="Arial" w:cs="Arial"/>
      <w:b/>
      <w:bCs/>
      <w:spacing w:val="0"/>
      <w:sz w:val="32"/>
      <w:szCs w:val="32"/>
      <w:lang w:bidi="ar-SA"/>
    </w:rPr>
  </w:style>
  <w:style w:type="paragraph" w:customStyle="1" w:styleId="Bodsmlouvyvramciclanku">
    <w:name w:val="Bod smlouvy v ramci clanku"/>
    <w:basedOn w:val="Normln"/>
    <w:rsid w:val="005F15C2"/>
    <w:pPr>
      <w:autoSpaceDE w:val="0"/>
      <w:autoSpaceDN w:val="0"/>
      <w:spacing w:before="120" w:after="120" w:line="240" w:lineRule="atLeast"/>
      <w:outlineLvl w:val="1"/>
    </w:pPr>
    <w:rPr>
      <w:rFonts w:ascii="Times New Roman" w:eastAsia="Times New Roman" w:hAnsi="Times New Roman"/>
      <w:spacing w:val="0"/>
      <w:sz w:val="24"/>
      <w:szCs w:val="24"/>
      <w:lang w:eastAsia="cs-CZ" w:bidi="ar-SA"/>
    </w:rPr>
  </w:style>
  <w:style w:type="paragraph" w:customStyle="1" w:styleId="StylNadpis5nenTunVpravo-083cm">
    <w:name w:val="Styl Nadpis 5 + není Tučné Vpravo:  -083 cm"/>
    <w:basedOn w:val="Nadpis5"/>
    <w:rsid w:val="005F15C2"/>
    <w:pPr>
      <w:keepNext/>
      <w:pBdr>
        <w:bottom w:val="none" w:sz="0" w:space="0" w:color="auto"/>
      </w:pBdr>
      <w:spacing w:before="0" w:after="0" w:line="240" w:lineRule="auto"/>
      <w:ind w:right="-470"/>
    </w:pPr>
    <w:rPr>
      <w:rFonts w:ascii="Arial" w:eastAsia="Times New Roman" w:hAnsi="Arial"/>
      <w:i/>
      <w:iCs/>
      <w:color w:val="auto"/>
      <w:spacing w:val="0"/>
      <w:szCs w:val="20"/>
      <w:lang w:eastAsia="cs-CZ" w:bidi="ar-SA"/>
    </w:rPr>
  </w:style>
  <w:style w:type="paragraph" w:customStyle="1" w:styleId="StylVUPSV">
    <w:name w:val="Styl VUPSV"/>
    <w:rsid w:val="005F15C2"/>
    <w:pPr>
      <w:tabs>
        <w:tab w:val="left" w:pos="851"/>
      </w:tabs>
      <w:jc w:val="both"/>
    </w:pPr>
    <w:rPr>
      <w:rFonts w:ascii="Times New Roman" w:eastAsia="Times New Roman" w:hAnsi="Times New Roman"/>
      <w:sz w:val="24"/>
      <w:lang w:val="cs-CZ" w:eastAsia="cs-CZ"/>
    </w:rPr>
  </w:style>
  <w:style w:type="paragraph" w:customStyle="1" w:styleId="textzkladn">
    <w:name w:val="text_základní"/>
    <w:basedOn w:val="Normln"/>
    <w:rsid w:val="005F15C2"/>
    <w:pPr>
      <w:spacing w:before="0" w:after="60" w:line="240" w:lineRule="auto"/>
    </w:pPr>
    <w:rPr>
      <w:rFonts w:ascii="Arial" w:eastAsia="Times New Roman" w:hAnsi="Arial" w:cs="Arial"/>
      <w:spacing w:val="0"/>
      <w:sz w:val="24"/>
      <w:szCs w:val="24"/>
      <w:lang w:eastAsia="cs-CZ" w:bidi="ar-SA"/>
    </w:rPr>
  </w:style>
  <w:style w:type="paragraph" w:customStyle="1" w:styleId="lnek">
    <w:name w:val="článek"/>
    <w:basedOn w:val="Normln"/>
    <w:rsid w:val="005F15C2"/>
    <w:pPr>
      <w:suppressAutoHyphens/>
      <w:spacing w:before="0" w:after="0" w:line="360" w:lineRule="auto"/>
    </w:pPr>
    <w:rPr>
      <w:rFonts w:ascii="Courier New" w:eastAsia="Times New Roman" w:hAnsi="Courier New"/>
      <w:spacing w:val="0"/>
      <w:sz w:val="24"/>
      <w:lang w:eastAsia="ar-SA" w:bidi="ar-SA"/>
    </w:rPr>
  </w:style>
  <w:style w:type="paragraph" w:customStyle="1" w:styleId="StylZkladntextPed6b">
    <w:name w:val="Styl Základní text + Před:  6 b."/>
    <w:basedOn w:val="Zkladntext"/>
    <w:rsid w:val="005F15C2"/>
    <w:pPr>
      <w:widowControl w:val="0"/>
      <w:spacing w:before="120" w:after="0"/>
    </w:pPr>
    <w:rPr>
      <w:rFonts w:ascii="Garamond" w:hAnsi="Garamond" w:cs="Arial"/>
      <w:spacing w:val="0"/>
    </w:rPr>
  </w:style>
  <w:style w:type="paragraph" w:customStyle="1" w:styleId="vty">
    <w:name w:val="věty"/>
    <w:basedOn w:val="Normln"/>
    <w:rsid w:val="005F15C2"/>
    <w:pPr>
      <w:numPr>
        <w:ilvl w:val="1"/>
        <w:numId w:val="5"/>
      </w:numPr>
      <w:spacing w:before="0" w:after="0" w:line="240" w:lineRule="auto"/>
      <w:jc w:val="left"/>
    </w:pPr>
    <w:rPr>
      <w:rFonts w:ascii="Times New Roman" w:eastAsia="Times New Roman" w:hAnsi="Times New Roman"/>
      <w:spacing w:val="0"/>
      <w:sz w:val="24"/>
      <w:szCs w:val="24"/>
      <w:lang w:eastAsia="cs-CZ" w:bidi="ar-SA"/>
    </w:rPr>
  </w:style>
  <w:style w:type="paragraph" w:customStyle="1" w:styleId="vty0">
    <w:name w:val="vty"/>
    <w:basedOn w:val="Normln"/>
    <w:rsid w:val="005F15C2"/>
    <w:pPr>
      <w:spacing w:before="100" w:beforeAutospacing="1" w:after="100" w:afterAutospacing="1" w:line="240" w:lineRule="auto"/>
      <w:jc w:val="left"/>
    </w:pPr>
    <w:rPr>
      <w:rFonts w:ascii="Times New Roman" w:eastAsia="Times New Roman" w:hAnsi="Times New Roman"/>
      <w:spacing w:val="0"/>
      <w:sz w:val="24"/>
      <w:szCs w:val="24"/>
      <w:lang w:eastAsia="cs-CZ" w:bidi="ar-SA"/>
    </w:rPr>
  </w:style>
  <w:style w:type="paragraph" w:customStyle="1" w:styleId="DefaultChar1">
    <w:name w:val="Default Char1"/>
    <w:rsid w:val="005F15C2"/>
    <w:pPr>
      <w:widowControl w:val="0"/>
    </w:pPr>
    <w:rPr>
      <w:rFonts w:ascii="Times New Roman Gras 0117200" w:eastAsia="Times New Roman" w:hAnsi="Times New Roman Gras 0117200"/>
      <w:color w:val="000000"/>
      <w:sz w:val="24"/>
      <w:szCs w:val="24"/>
      <w:lang w:val="cs-CZ"/>
    </w:rPr>
  </w:style>
  <w:style w:type="paragraph" w:customStyle="1" w:styleId="podkapitola">
    <w:name w:val="podkapitola"/>
    <w:basedOn w:val="Normln"/>
    <w:rsid w:val="005F15C2"/>
    <w:pPr>
      <w:spacing w:before="0" w:after="0" w:line="240" w:lineRule="auto"/>
      <w:jc w:val="left"/>
    </w:pPr>
    <w:rPr>
      <w:rFonts w:ascii="Times New Roman" w:eastAsia="Times New Roman" w:hAnsi="Times New Roman"/>
      <w:spacing w:val="0"/>
      <w:sz w:val="24"/>
      <w:szCs w:val="24"/>
      <w:lang w:eastAsia="cs-CZ" w:bidi="ar-SA"/>
    </w:rPr>
  </w:style>
  <w:style w:type="paragraph" w:customStyle="1" w:styleId="A-ZprvaCSP-ods1dek">
    <w:name w:val="A-ZprávaCSP-ods.1.řádek"/>
    <w:basedOn w:val="Normln"/>
    <w:rsid w:val="005F15C2"/>
    <w:pPr>
      <w:spacing w:before="0" w:after="0" w:line="240" w:lineRule="auto"/>
      <w:ind w:firstLine="709"/>
    </w:pPr>
    <w:rPr>
      <w:rFonts w:ascii="Arial Narrow" w:eastAsia="Times New Roman" w:hAnsi="Arial Narrow"/>
      <w:spacing w:val="0"/>
      <w:sz w:val="24"/>
      <w:szCs w:val="24"/>
      <w:lang w:eastAsia="cs-CZ" w:bidi="ar-SA"/>
    </w:rPr>
  </w:style>
  <w:style w:type="paragraph" w:customStyle="1" w:styleId="Normln1">
    <w:name w:val="Normální1"/>
    <w:rsid w:val="00431A4D"/>
    <w:rPr>
      <w:rFonts w:ascii="Times New Roman" w:eastAsia="ヒラギノ角ゴ Pro W3" w:hAnsi="Times New Roman"/>
      <w:color w:val="000000"/>
      <w:sz w:val="24"/>
      <w:lang w:val="cs-CZ" w:eastAsia="cs-CZ"/>
    </w:rPr>
  </w:style>
  <w:style w:type="paragraph" w:customStyle="1" w:styleId="Strany">
    <w:name w:val="Strany"/>
    <w:basedOn w:val="Normln"/>
    <w:rsid w:val="00F67A01"/>
    <w:pPr>
      <w:spacing w:before="240" w:after="0" w:line="240" w:lineRule="auto"/>
      <w:ind w:left="1135" w:right="-1" w:hanging="567"/>
      <w:jc w:val="left"/>
    </w:pPr>
    <w:rPr>
      <w:rFonts w:ascii="Arial" w:eastAsia="Times New Roman" w:hAnsi="Arial"/>
      <w:spacing w:val="0"/>
      <w:sz w:val="20"/>
      <w:lang w:eastAsia="cs-CZ" w:bidi="ar-SA"/>
    </w:rPr>
  </w:style>
  <w:style w:type="paragraph" w:customStyle="1" w:styleId="sla">
    <w:name w:val="čísla"/>
    <w:basedOn w:val="Normln"/>
    <w:rsid w:val="00755E7B"/>
    <w:pPr>
      <w:numPr>
        <w:numId w:val="6"/>
      </w:numPr>
      <w:spacing w:before="0" w:after="0" w:line="240" w:lineRule="auto"/>
      <w:jc w:val="left"/>
    </w:pPr>
    <w:rPr>
      <w:rFonts w:ascii="Times New Roman" w:eastAsia="Times New Roman" w:hAnsi="Times New Roman"/>
      <w:spacing w:val="0"/>
      <w:sz w:val="24"/>
      <w:szCs w:val="24"/>
      <w:lang w:eastAsia="cs-CZ" w:bidi="ar-SA"/>
    </w:rPr>
  </w:style>
  <w:style w:type="paragraph" w:customStyle="1" w:styleId="default0">
    <w:name w:val="default"/>
    <w:basedOn w:val="Normln"/>
    <w:rsid w:val="00755E7B"/>
    <w:pPr>
      <w:spacing w:before="100" w:beforeAutospacing="1" w:after="100" w:afterAutospacing="1" w:line="240" w:lineRule="auto"/>
      <w:jc w:val="left"/>
    </w:pPr>
    <w:rPr>
      <w:rFonts w:ascii="Times New Roman" w:eastAsia="Calibri" w:hAnsi="Times New Roman"/>
      <w:spacing w:val="0"/>
      <w:sz w:val="24"/>
      <w:szCs w:val="24"/>
      <w:lang w:eastAsia="cs-CZ" w:bidi="ar-SA"/>
    </w:rPr>
  </w:style>
  <w:style w:type="paragraph" w:styleId="Seznam">
    <w:name w:val="List"/>
    <w:basedOn w:val="Zkladntext"/>
    <w:rsid w:val="00734FE7"/>
    <w:pPr>
      <w:suppressAutoHyphens/>
      <w:ind w:firstLine="567"/>
    </w:pPr>
    <w:rPr>
      <w:rFonts w:ascii="Arial" w:hAnsi="Arial" w:cs="Tahoma"/>
      <w:spacing w:val="0"/>
      <w:sz w:val="22"/>
      <w:lang w:eastAsia="ar-SA"/>
    </w:rPr>
  </w:style>
  <w:style w:type="paragraph" w:customStyle="1" w:styleId="Claneka">
    <w:name w:val="Clanek (a)"/>
    <w:basedOn w:val="Normln"/>
    <w:rsid w:val="00B45433"/>
    <w:pPr>
      <w:tabs>
        <w:tab w:val="num" w:pos="2727"/>
      </w:tabs>
      <w:spacing w:before="120" w:after="120" w:line="240" w:lineRule="auto"/>
      <w:ind w:left="2727" w:hanging="180"/>
    </w:pPr>
    <w:rPr>
      <w:rFonts w:ascii="Times New Roman" w:eastAsia="Calibri" w:hAnsi="Times New Roman"/>
      <w:spacing w:val="0"/>
      <w:szCs w:val="22"/>
      <w:lang w:bidi="ar-SA"/>
    </w:rPr>
  </w:style>
  <w:style w:type="paragraph" w:customStyle="1" w:styleId="Odrky1">
    <w:name w:val="Odrážky 1"/>
    <w:basedOn w:val="Normln"/>
    <w:qFormat/>
    <w:rsid w:val="00B45433"/>
    <w:pPr>
      <w:numPr>
        <w:numId w:val="7"/>
      </w:numPr>
      <w:spacing w:before="0" w:after="120"/>
    </w:pPr>
    <w:rPr>
      <w:rFonts w:eastAsia="Calibri"/>
      <w:spacing w:val="0"/>
      <w:szCs w:val="22"/>
      <w:lang w:bidi="ar-SA"/>
    </w:rPr>
  </w:style>
  <w:style w:type="paragraph" w:styleId="Textvysvtlivek">
    <w:name w:val="endnote text"/>
    <w:basedOn w:val="Normln"/>
    <w:link w:val="TextvysvtlivekChar"/>
    <w:uiPriority w:val="99"/>
    <w:semiHidden/>
    <w:unhideWhenUsed/>
    <w:rsid w:val="00B9564E"/>
    <w:pPr>
      <w:spacing w:before="0" w:after="0" w:line="240" w:lineRule="auto"/>
    </w:pPr>
    <w:rPr>
      <w:sz w:val="20"/>
      <w:szCs w:val="24"/>
    </w:rPr>
  </w:style>
  <w:style w:type="character" w:customStyle="1" w:styleId="TextvysvtlivekChar">
    <w:name w:val="Text vysvětlivek Char"/>
    <w:basedOn w:val="Standardnpsmoodstavce"/>
    <w:link w:val="Textvysvtlivek"/>
    <w:uiPriority w:val="99"/>
    <w:semiHidden/>
    <w:rsid w:val="00B9564E"/>
    <w:rPr>
      <w:spacing w:val="4"/>
      <w:szCs w:val="24"/>
      <w:lang w:val="cs-CZ" w:bidi="en-US"/>
    </w:rPr>
  </w:style>
  <w:style w:type="character" w:styleId="Odkaznavysvtlivky">
    <w:name w:val="endnote reference"/>
    <w:basedOn w:val="Standardnpsmoodstavce"/>
    <w:uiPriority w:val="99"/>
    <w:semiHidden/>
    <w:unhideWhenUsed/>
    <w:rsid w:val="00B9564E"/>
    <w:rPr>
      <w:vertAlign w:val="superscript"/>
    </w:rPr>
  </w:style>
  <w:style w:type="paragraph" w:customStyle="1" w:styleId="CharCharChar6CharCharCharCharCharCharCharCharCharCharCharCharCharCharCharCharCharCharCharCharChar1CharCharCharCharCharCharCharCharChar1CharCharCharCharCharCharCharChar1Char1">
    <w:name w:val="Char Char Char6 Char Char Char Char Char Char Char Char Char Char Char Char Char Char Char Char Char Char Char Char Char1 Char Char Char Char Char Char Char Char Char1 Char Char Char Char Char Char Char Char1 Char1"/>
    <w:basedOn w:val="Normln"/>
    <w:rsid w:val="00B9564E"/>
    <w:pPr>
      <w:spacing w:before="0" w:after="160" w:line="240" w:lineRule="exact"/>
      <w:jc w:val="left"/>
    </w:pPr>
    <w:rPr>
      <w:rFonts w:ascii="Tahoma" w:eastAsia="Times New Roman" w:hAnsi="Tahoma" w:cs="Tahoma"/>
      <w:spacing w:val="0"/>
      <w:sz w:val="20"/>
      <w:lang w:val="en-US" w:bidi="ar-SA"/>
    </w:rPr>
  </w:style>
  <w:style w:type="numbering" w:customStyle="1" w:styleId="ZV">
    <w:name w:val="ZV"/>
    <w:rsid w:val="00B9564E"/>
    <w:pPr>
      <w:numPr>
        <w:numId w:val="8"/>
      </w:numPr>
    </w:pPr>
  </w:style>
  <w:style w:type="character" w:customStyle="1" w:styleId="Styl1Char">
    <w:name w:val="Styl1 Char"/>
    <w:basedOn w:val="Standardnpsmoodstavce"/>
    <w:rsid w:val="00B9564E"/>
    <w:rPr>
      <w:rFonts w:ascii="Arial" w:hAnsi="Arial" w:cs="Arial"/>
      <w:color w:val="FF0000"/>
      <w:sz w:val="16"/>
      <w:szCs w:val="16"/>
    </w:rPr>
  </w:style>
  <w:style w:type="character" w:customStyle="1" w:styleId="Zkladntext0">
    <w:name w:val="Základní text_"/>
    <w:basedOn w:val="Standardnpsmoodstavce"/>
    <w:link w:val="Zkladntext4"/>
    <w:rsid w:val="00B9564E"/>
    <w:rPr>
      <w:rFonts w:ascii="Times New Roman" w:eastAsia="Times New Roman" w:hAnsi="Times New Roman"/>
      <w:sz w:val="21"/>
      <w:szCs w:val="21"/>
      <w:shd w:val="clear" w:color="auto" w:fill="FFFFFF"/>
    </w:rPr>
  </w:style>
  <w:style w:type="paragraph" w:customStyle="1" w:styleId="Zkladntext4">
    <w:name w:val="Základní text4"/>
    <w:basedOn w:val="Normln"/>
    <w:link w:val="Zkladntext0"/>
    <w:rsid w:val="00B9564E"/>
    <w:pPr>
      <w:shd w:val="clear" w:color="auto" w:fill="FFFFFF"/>
      <w:spacing w:before="0" w:after="60" w:line="0" w:lineRule="atLeast"/>
      <w:ind w:hanging="280"/>
      <w:jc w:val="left"/>
    </w:pPr>
    <w:rPr>
      <w:rFonts w:ascii="Times New Roman" w:eastAsia="Times New Roman" w:hAnsi="Times New Roman"/>
      <w:spacing w:val="0"/>
      <w:sz w:val="21"/>
      <w:szCs w:val="21"/>
      <w:lang w:val="en-US" w:bidi="ar-SA"/>
    </w:rPr>
  </w:style>
  <w:style w:type="paragraph" w:customStyle="1" w:styleId="odstavec1evasco">
    <w:name w:val="odstavec1_evasco"/>
    <w:basedOn w:val="Normln"/>
    <w:semiHidden/>
    <w:rsid w:val="00B9564E"/>
    <w:pPr>
      <w:spacing w:before="0" w:after="120" w:line="240" w:lineRule="auto"/>
    </w:pPr>
    <w:rPr>
      <w:rFonts w:ascii="Times New Roman" w:hAnsi="Times New Roman"/>
      <w:spacing w:val="0"/>
      <w:sz w:val="24"/>
      <w:szCs w:val="24"/>
      <w:lang w:eastAsia="ja-JP" w:bidi="ar-SA"/>
    </w:rPr>
  </w:style>
  <w:style w:type="character" w:customStyle="1" w:styleId="Zkladntextodsazen2Char2">
    <w:name w:val="Základní text odsazený 2 Char2"/>
    <w:basedOn w:val="Standardnpsmoodstavce"/>
    <w:uiPriority w:val="99"/>
    <w:semiHidden/>
    <w:rsid w:val="00B9564E"/>
    <w:rPr>
      <w:spacing w:val="4"/>
      <w:sz w:val="22"/>
      <w:lang w:val="cs-CZ" w:bidi="en-US"/>
    </w:rPr>
  </w:style>
  <w:style w:type="character" w:customStyle="1" w:styleId="Zkladntextodsazen3Char2">
    <w:name w:val="Základní text odsazený 3 Char2"/>
    <w:basedOn w:val="Standardnpsmoodstavce"/>
    <w:uiPriority w:val="99"/>
    <w:semiHidden/>
    <w:rsid w:val="00B9564E"/>
    <w:rPr>
      <w:spacing w:val="4"/>
      <w:sz w:val="16"/>
      <w:szCs w:val="16"/>
      <w:lang w:val="cs-CZ" w:bidi="en-US"/>
    </w:rPr>
  </w:style>
  <w:style w:type="character" w:customStyle="1" w:styleId="RozvrendokumentuChar1">
    <w:name w:val="Rozvržení dokumentu Char1"/>
    <w:basedOn w:val="Standardnpsmoodstavce"/>
    <w:uiPriority w:val="99"/>
    <w:semiHidden/>
    <w:rsid w:val="00B9564E"/>
    <w:rPr>
      <w:rFonts w:ascii="Tahoma" w:hAnsi="Tahoma" w:cs="Tahoma"/>
      <w:spacing w:val="4"/>
      <w:sz w:val="16"/>
      <w:szCs w:val="16"/>
      <w:lang w:val="cs-CZ" w:bidi="en-US"/>
    </w:rPr>
  </w:style>
  <w:style w:type="paragraph" w:styleId="Seznamobrzk">
    <w:name w:val="table of figures"/>
    <w:basedOn w:val="Normln"/>
    <w:next w:val="Normln"/>
    <w:uiPriority w:val="99"/>
    <w:unhideWhenUsed/>
    <w:rsid w:val="00B9564E"/>
    <w:pPr>
      <w:spacing w:after="0"/>
    </w:pPr>
  </w:style>
  <w:style w:type="paragraph" w:customStyle="1" w:styleId="TableParagraph">
    <w:name w:val="Table Paragraph"/>
    <w:basedOn w:val="Normln"/>
    <w:uiPriority w:val="1"/>
    <w:qFormat/>
    <w:rsid w:val="00B9564E"/>
    <w:pPr>
      <w:widowControl w:val="0"/>
      <w:spacing w:before="0" w:after="0" w:line="240" w:lineRule="auto"/>
      <w:jc w:val="left"/>
    </w:pPr>
    <w:rPr>
      <w:rFonts w:asciiTheme="minorHAnsi" w:eastAsiaTheme="minorHAnsi" w:hAnsiTheme="minorHAnsi" w:cstheme="minorBidi"/>
      <w:spacing w:val="0"/>
      <w:szCs w:val="22"/>
      <w:lang w:val="en-US" w:bidi="ar-SA"/>
    </w:rPr>
  </w:style>
  <w:style w:type="paragraph" w:customStyle="1" w:styleId="Standard">
    <w:name w:val="Standard"/>
    <w:rsid w:val="00B9564E"/>
    <w:pPr>
      <w:widowControl w:val="0"/>
      <w:suppressAutoHyphens/>
      <w:autoSpaceDN w:val="0"/>
      <w:jc w:val="both"/>
      <w:textAlignment w:val="baseline"/>
    </w:pPr>
    <w:rPr>
      <w:rFonts w:ascii="Arial" w:eastAsia="Lucida Sans Unicode" w:hAnsi="Arial" w:cs="Tahoma"/>
      <w:kern w:val="3"/>
      <w:lang w:val="cs-CZ" w:eastAsia="cs-CZ"/>
    </w:rPr>
  </w:style>
  <w:style w:type="paragraph" w:customStyle="1" w:styleId="AMtabtxtl">
    <w:name w:val="AM_tabtxtl"/>
    <w:basedOn w:val="Normln"/>
    <w:rsid w:val="000574BA"/>
    <w:pPr>
      <w:tabs>
        <w:tab w:val="left" w:pos="425"/>
        <w:tab w:val="left" w:pos="709"/>
        <w:tab w:val="left" w:pos="851"/>
        <w:tab w:val="left" w:pos="1021"/>
        <w:tab w:val="left" w:pos="1134"/>
        <w:tab w:val="left" w:pos="2268"/>
      </w:tabs>
      <w:suppressAutoHyphens/>
      <w:overflowPunct w:val="0"/>
      <w:autoSpaceDE w:val="0"/>
      <w:spacing w:before="80" w:after="0" w:line="240" w:lineRule="auto"/>
      <w:jc w:val="left"/>
      <w:textAlignment w:val="baseline"/>
    </w:pPr>
    <w:rPr>
      <w:rFonts w:ascii="Arial" w:eastAsia="Times New Roman" w:hAnsi="Arial"/>
      <w:color w:val="000000"/>
      <w:spacing w:val="0"/>
      <w:sz w:val="18"/>
      <w:lang w:eastAsia="ar-SA" w:bidi="ar-SA"/>
    </w:rPr>
  </w:style>
  <w:style w:type="paragraph" w:customStyle="1" w:styleId="AMtabtxt">
    <w:name w:val="AM_tabtxt"/>
    <w:basedOn w:val="Normln"/>
    <w:rsid w:val="000574BA"/>
    <w:pPr>
      <w:tabs>
        <w:tab w:val="left" w:pos="425"/>
        <w:tab w:val="left" w:pos="709"/>
        <w:tab w:val="left" w:pos="851"/>
        <w:tab w:val="left" w:pos="1021"/>
        <w:tab w:val="left" w:pos="1134"/>
        <w:tab w:val="left" w:pos="2268"/>
      </w:tabs>
      <w:suppressAutoHyphens/>
      <w:overflowPunct w:val="0"/>
      <w:autoSpaceDE w:val="0"/>
      <w:spacing w:before="80" w:after="80" w:line="240" w:lineRule="auto"/>
      <w:jc w:val="center"/>
      <w:textAlignment w:val="baseline"/>
    </w:pPr>
    <w:rPr>
      <w:rFonts w:ascii="Arial" w:eastAsia="Times New Roman" w:hAnsi="Arial"/>
      <w:color w:val="000000"/>
      <w:spacing w:val="0"/>
      <w:sz w:val="18"/>
      <w:lang w:eastAsia="ar-SA" w:bidi="ar-SA"/>
    </w:rPr>
  </w:style>
  <w:style w:type="paragraph" w:customStyle="1" w:styleId="AMtabcentrbold">
    <w:name w:val="AM_tabcentrbold"/>
    <w:basedOn w:val="Normln"/>
    <w:rsid w:val="00FF0FF9"/>
    <w:pPr>
      <w:tabs>
        <w:tab w:val="left" w:pos="425"/>
        <w:tab w:val="left" w:pos="709"/>
        <w:tab w:val="left" w:pos="851"/>
        <w:tab w:val="left" w:pos="1021"/>
        <w:tab w:val="left" w:pos="1134"/>
        <w:tab w:val="left" w:pos="2268"/>
      </w:tabs>
      <w:suppressAutoHyphens/>
      <w:overflowPunct w:val="0"/>
      <w:autoSpaceDE w:val="0"/>
      <w:spacing w:before="80" w:after="80" w:line="240" w:lineRule="auto"/>
      <w:jc w:val="center"/>
      <w:textAlignment w:val="baseline"/>
    </w:pPr>
    <w:rPr>
      <w:rFonts w:ascii="Arial" w:eastAsia="Times New Roman" w:hAnsi="Arial"/>
      <w:b/>
      <w:color w:val="000000"/>
      <w:spacing w:val="0"/>
      <w:sz w:val="18"/>
      <w:lang w:eastAsia="ar-SA" w:bidi="ar-SA"/>
    </w:rPr>
  </w:style>
  <w:style w:type="character" w:styleId="Sledovanodkaz">
    <w:name w:val="FollowedHyperlink"/>
    <w:basedOn w:val="Standardnpsmoodstavce"/>
    <w:uiPriority w:val="99"/>
    <w:semiHidden/>
    <w:unhideWhenUsed/>
    <w:rsid w:val="009F1C7B"/>
    <w:rPr>
      <w:color w:val="800080" w:themeColor="followedHyperlink"/>
      <w:u w:val="single"/>
    </w:rPr>
  </w:style>
  <w:style w:type="table" w:customStyle="1" w:styleId="Prosttabulka51">
    <w:name w:val="Prostá tabulka 51"/>
    <w:basedOn w:val="Normlntabulka"/>
    <w:uiPriority w:val="45"/>
    <w:rsid w:val="00CB6219"/>
    <w:rPr>
      <w:rFonts w:asciiTheme="minorHAnsi" w:eastAsiaTheme="minorEastAsia" w:hAnsiTheme="minorHAnsi" w:cstheme="minorBidi"/>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rosttabulka41">
    <w:name w:val="Prostá tabulka 41"/>
    <w:basedOn w:val="Normlntabulka"/>
    <w:uiPriority w:val="44"/>
    <w:rsid w:val="00CB6219"/>
    <w:rPr>
      <w:rFonts w:asciiTheme="minorHAnsi" w:eastAsiaTheme="minorEastAsia" w:hAnsiTheme="minorHAnsi" w:cstheme="minorBidi"/>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xmsolistparagraph">
    <w:name w:val="x_msolistparagraph"/>
    <w:basedOn w:val="Normln"/>
    <w:rsid w:val="00D83D42"/>
    <w:pPr>
      <w:spacing w:before="100" w:beforeAutospacing="1" w:after="100" w:afterAutospacing="1" w:line="240" w:lineRule="auto"/>
      <w:jc w:val="left"/>
    </w:pPr>
    <w:rPr>
      <w:rFonts w:ascii="Times New Roman" w:eastAsia="Times New Roman" w:hAnsi="Times New Roman"/>
      <w:spacing w:val="0"/>
      <w:sz w:val="24"/>
      <w:szCs w:val="24"/>
      <w:lang w:eastAsia="cs-CZ" w:bidi="ar-SA"/>
    </w:rPr>
  </w:style>
  <w:style w:type="paragraph" w:customStyle="1" w:styleId="Pa1">
    <w:name w:val="Pa1"/>
    <w:basedOn w:val="Default"/>
    <w:next w:val="Default"/>
    <w:uiPriority w:val="99"/>
    <w:rsid w:val="00757227"/>
    <w:pPr>
      <w:spacing w:before="0" w:after="0" w:line="241" w:lineRule="atLeast"/>
    </w:pPr>
    <w:rPr>
      <w:rFonts w:eastAsia="Times New Roman"/>
      <w:color w:val="auto"/>
      <w:lang w:eastAsia="cs-CZ"/>
    </w:rPr>
  </w:style>
  <w:style w:type="character" w:customStyle="1" w:styleId="A1">
    <w:name w:val="A1"/>
    <w:uiPriority w:val="99"/>
    <w:rsid w:val="00757227"/>
    <w:rPr>
      <w:color w:val="000000"/>
      <w:sz w:val="25"/>
      <w:szCs w:val="25"/>
    </w:rPr>
  </w:style>
  <w:style w:type="table" w:customStyle="1" w:styleId="Prosttabulka31">
    <w:name w:val="Prostá tabulka 31"/>
    <w:basedOn w:val="Normlntabulka"/>
    <w:uiPriority w:val="43"/>
    <w:rsid w:val="00E237C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Svtlseznamzvraznn11">
    <w:name w:val="Světlý seznam – zvýraznění 11"/>
    <w:basedOn w:val="Normlntabulka"/>
    <w:uiPriority w:val="61"/>
    <w:rsid w:val="0078648F"/>
    <w:rPr>
      <w:rFonts w:asciiTheme="minorHAnsi" w:eastAsiaTheme="minorHAnsi" w:hAnsiTheme="minorHAnsi" w:cstheme="minorBidi"/>
      <w:sz w:val="22"/>
      <w:szCs w:val="22"/>
      <w:lang w:val="cs-CZ"/>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tednmka3zvraznn1">
    <w:name w:val="Medium Grid 3 Accent 1"/>
    <w:basedOn w:val="Normlntabulka"/>
    <w:uiPriority w:val="64"/>
    <w:rsid w:val="00BC48D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Svtlmkazvraznn11">
    <w:name w:val="Světlá mřížka – zvýraznění 11"/>
    <w:basedOn w:val="Normlntabulka"/>
    <w:uiPriority w:val="67"/>
    <w:rsid w:val="00BC48D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Stednstnovn2zvraznn11">
    <w:name w:val="Střední stínování 2 – zvýraznění 11"/>
    <w:basedOn w:val="Normlntabulka"/>
    <w:uiPriority w:val="69"/>
    <w:rsid w:val="00BC48D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Barevnmkazvraznn1">
    <w:name w:val="Colorful Grid Accent 1"/>
    <w:basedOn w:val="Normlntabulka"/>
    <w:uiPriority w:val="68"/>
    <w:rsid w:val="00BC48D1"/>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1"/>
    <w:rsid w:val="00BC48D1"/>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FormtovanvHTML">
    <w:name w:val="HTML Preformatted"/>
    <w:basedOn w:val="Normln"/>
    <w:link w:val="FormtovanvHTMLChar"/>
    <w:uiPriority w:val="99"/>
    <w:semiHidden/>
    <w:unhideWhenUsed/>
    <w:rsid w:val="00CA3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cs="Courier New"/>
      <w:spacing w:val="0"/>
      <w:sz w:val="20"/>
      <w:lang w:eastAsia="cs-CZ" w:bidi="ar-SA"/>
    </w:rPr>
  </w:style>
  <w:style w:type="character" w:customStyle="1" w:styleId="FormtovanvHTMLChar">
    <w:name w:val="Formátovaný v HTML Char"/>
    <w:basedOn w:val="Standardnpsmoodstavce"/>
    <w:link w:val="FormtovanvHTML"/>
    <w:uiPriority w:val="99"/>
    <w:semiHidden/>
    <w:rsid w:val="00CA35DB"/>
    <w:rPr>
      <w:rFonts w:ascii="Courier New" w:eastAsia="Times New Roman" w:hAnsi="Courier New" w:cs="Courier New"/>
      <w:lang w:val="cs-CZ" w:eastAsia="cs-CZ"/>
    </w:rPr>
  </w:style>
  <w:style w:type="table" w:customStyle="1" w:styleId="Svtlseznamzvraznn12">
    <w:name w:val="Světlý seznam – zvýraznění 12"/>
    <w:basedOn w:val="Normlntabulka"/>
    <w:uiPriority w:val="61"/>
    <w:rsid w:val="001A2E56"/>
    <w:rPr>
      <w:rFonts w:asciiTheme="minorHAnsi" w:eastAsiaTheme="minorHAnsi" w:hAnsiTheme="minorHAnsi" w:cstheme="minorBidi"/>
      <w:sz w:val="22"/>
      <w:szCs w:val="22"/>
      <w:lang w:val="cs-CZ"/>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xl23">
    <w:name w:val="xl23"/>
    <w:basedOn w:val="Normln"/>
    <w:rsid w:val="009C6C55"/>
    <w:pPr>
      <w:pBdr>
        <w:left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spacing w:val="0"/>
      <w:szCs w:val="22"/>
      <w:lang w:eastAsia="cs-CZ" w:bidi="ar-SA"/>
    </w:rPr>
  </w:style>
  <w:style w:type="character" w:customStyle="1" w:styleId="TitulekChar">
    <w:name w:val="Titulek Char"/>
    <w:aliases w:val="~Caption Char"/>
    <w:link w:val="Titulek"/>
    <w:rsid w:val="009A504C"/>
    <w:rPr>
      <w:b/>
      <w:bCs/>
      <w:color w:val="372C74"/>
      <w:spacing w:val="10"/>
      <w:sz w:val="18"/>
      <w:szCs w:val="16"/>
      <w:lang w:val="cs-CZ" w:bidi="en-US"/>
    </w:rPr>
  </w:style>
  <w:style w:type="character" w:customStyle="1" w:styleId="tlid-translation">
    <w:name w:val="tlid-translation"/>
    <w:basedOn w:val="Standardnpsmoodstavce"/>
    <w:rsid w:val="008213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61347">
      <w:bodyDiv w:val="1"/>
      <w:marLeft w:val="0"/>
      <w:marRight w:val="0"/>
      <w:marTop w:val="0"/>
      <w:marBottom w:val="0"/>
      <w:divBdr>
        <w:top w:val="none" w:sz="0" w:space="0" w:color="auto"/>
        <w:left w:val="none" w:sz="0" w:space="0" w:color="auto"/>
        <w:bottom w:val="none" w:sz="0" w:space="0" w:color="auto"/>
        <w:right w:val="none" w:sz="0" w:space="0" w:color="auto"/>
      </w:divBdr>
    </w:div>
    <w:div w:id="76753749">
      <w:bodyDiv w:val="1"/>
      <w:marLeft w:val="0"/>
      <w:marRight w:val="0"/>
      <w:marTop w:val="0"/>
      <w:marBottom w:val="0"/>
      <w:divBdr>
        <w:top w:val="none" w:sz="0" w:space="0" w:color="auto"/>
        <w:left w:val="none" w:sz="0" w:space="0" w:color="auto"/>
        <w:bottom w:val="none" w:sz="0" w:space="0" w:color="auto"/>
        <w:right w:val="none" w:sz="0" w:space="0" w:color="auto"/>
      </w:divBdr>
    </w:div>
    <w:div w:id="82647526">
      <w:bodyDiv w:val="1"/>
      <w:marLeft w:val="0"/>
      <w:marRight w:val="0"/>
      <w:marTop w:val="0"/>
      <w:marBottom w:val="0"/>
      <w:divBdr>
        <w:top w:val="none" w:sz="0" w:space="0" w:color="auto"/>
        <w:left w:val="none" w:sz="0" w:space="0" w:color="auto"/>
        <w:bottom w:val="none" w:sz="0" w:space="0" w:color="auto"/>
        <w:right w:val="none" w:sz="0" w:space="0" w:color="auto"/>
      </w:divBdr>
    </w:div>
    <w:div w:id="173812383">
      <w:bodyDiv w:val="1"/>
      <w:marLeft w:val="0"/>
      <w:marRight w:val="0"/>
      <w:marTop w:val="0"/>
      <w:marBottom w:val="0"/>
      <w:divBdr>
        <w:top w:val="none" w:sz="0" w:space="0" w:color="auto"/>
        <w:left w:val="none" w:sz="0" w:space="0" w:color="auto"/>
        <w:bottom w:val="none" w:sz="0" w:space="0" w:color="auto"/>
        <w:right w:val="none" w:sz="0" w:space="0" w:color="auto"/>
      </w:divBdr>
      <w:divsChild>
        <w:div w:id="359204568">
          <w:marLeft w:val="0"/>
          <w:marRight w:val="0"/>
          <w:marTop w:val="0"/>
          <w:marBottom w:val="0"/>
          <w:divBdr>
            <w:top w:val="none" w:sz="0" w:space="0" w:color="auto"/>
            <w:left w:val="none" w:sz="0" w:space="0" w:color="auto"/>
            <w:bottom w:val="none" w:sz="0" w:space="0" w:color="auto"/>
            <w:right w:val="none" w:sz="0" w:space="0" w:color="auto"/>
          </w:divBdr>
          <w:divsChild>
            <w:div w:id="1789080460">
              <w:marLeft w:val="0"/>
              <w:marRight w:val="0"/>
              <w:marTop w:val="0"/>
              <w:marBottom w:val="0"/>
              <w:divBdr>
                <w:top w:val="none" w:sz="0" w:space="0" w:color="auto"/>
                <w:left w:val="none" w:sz="0" w:space="0" w:color="auto"/>
                <w:bottom w:val="none" w:sz="0" w:space="0" w:color="auto"/>
                <w:right w:val="none" w:sz="0" w:space="0" w:color="auto"/>
              </w:divBdr>
              <w:divsChild>
                <w:div w:id="14890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509746">
      <w:bodyDiv w:val="1"/>
      <w:marLeft w:val="0"/>
      <w:marRight w:val="0"/>
      <w:marTop w:val="0"/>
      <w:marBottom w:val="0"/>
      <w:divBdr>
        <w:top w:val="none" w:sz="0" w:space="0" w:color="auto"/>
        <w:left w:val="none" w:sz="0" w:space="0" w:color="auto"/>
        <w:bottom w:val="none" w:sz="0" w:space="0" w:color="auto"/>
        <w:right w:val="none" w:sz="0" w:space="0" w:color="auto"/>
      </w:divBdr>
    </w:div>
    <w:div w:id="254829872">
      <w:bodyDiv w:val="1"/>
      <w:marLeft w:val="0"/>
      <w:marRight w:val="0"/>
      <w:marTop w:val="0"/>
      <w:marBottom w:val="0"/>
      <w:divBdr>
        <w:top w:val="none" w:sz="0" w:space="0" w:color="auto"/>
        <w:left w:val="none" w:sz="0" w:space="0" w:color="auto"/>
        <w:bottom w:val="none" w:sz="0" w:space="0" w:color="auto"/>
        <w:right w:val="none" w:sz="0" w:space="0" w:color="auto"/>
      </w:divBdr>
    </w:div>
    <w:div w:id="255947362">
      <w:bodyDiv w:val="1"/>
      <w:marLeft w:val="0"/>
      <w:marRight w:val="0"/>
      <w:marTop w:val="0"/>
      <w:marBottom w:val="0"/>
      <w:divBdr>
        <w:top w:val="none" w:sz="0" w:space="0" w:color="auto"/>
        <w:left w:val="none" w:sz="0" w:space="0" w:color="auto"/>
        <w:bottom w:val="none" w:sz="0" w:space="0" w:color="auto"/>
        <w:right w:val="none" w:sz="0" w:space="0" w:color="auto"/>
      </w:divBdr>
      <w:divsChild>
        <w:div w:id="1248467887">
          <w:marLeft w:val="0"/>
          <w:marRight w:val="0"/>
          <w:marTop w:val="0"/>
          <w:marBottom w:val="0"/>
          <w:divBdr>
            <w:top w:val="none" w:sz="0" w:space="0" w:color="auto"/>
            <w:left w:val="none" w:sz="0" w:space="0" w:color="auto"/>
            <w:bottom w:val="none" w:sz="0" w:space="0" w:color="auto"/>
            <w:right w:val="none" w:sz="0" w:space="0" w:color="auto"/>
          </w:divBdr>
          <w:divsChild>
            <w:div w:id="457651819">
              <w:marLeft w:val="0"/>
              <w:marRight w:val="0"/>
              <w:marTop w:val="0"/>
              <w:marBottom w:val="0"/>
              <w:divBdr>
                <w:top w:val="none" w:sz="0" w:space="0" w:color="auto"/>
                <w:left w:val="none" w:sz="0" w:space="0" w:color="auto"/>
                <w:bottom w:val="none" w:sz="0" w:space="0" w:color="auto"/>
                <w:right w:val="none" w:sz="0" w:space="0" w:color="auto"/>
              </w:divBdr>
              <w:divsChild>
                <w:div w:id="484588208">
                  <w:marLeft w:val="0"/>
                  <w:marRight w:val="0"/>
                  <w:marTop w:val="0"/>
                  <w:marBottom w:val="0"/>
                  <w:divBdr>
                    <w:top w:val="none" w:sz="0" w:space="0" w:color="auto"/>
                    <w:left w:val="none" w:sz="0" w:space="0" w:color="auto"/>
                    <w:bottom w:val="none" w:sz="0" w:space="0" w:color="auto"/>
                    <w:right w:val="none" w:sz="0" w:space="0" w:color="auto"/>
                  </w:divBdr>
                  <w:divsChild>
                    <w:div w:id="350648703">
                      <w:marLeft w:val="0"/>
                      <w:marRight w:val="0"/>
                      <w:marTop w:val="0"/>
                      <w:marBottom w:val="0"/>
                      <w:divBdr>
                        <w:top w:val="none" w:sz="0" w:space="0" w:color="auto"/>
                        <w:left w:val="none" w:sz="0" w:space="0" w:color="auto"/>
                        <w:bottom w:val="none" w:sz="0" w:space="0" w:color="auto"/>
                        <w:right w:val="none" w:sz="0" w:space="0" w:color="auto"/>
                      </w:divBdr>
                      <w:divsChild>
                        <w:div w:id="1488394849">
                          <w:marLeft w:val="0"/>
                          <w:marRight w:val="0"/>
                          <w:marTop w:val="0"/>
                          <w:marBottom w:val="0"/>
                          <w:divBdr>
                            <w:top w:val="none" w:sz="0" w:space="0" w:color="auto"/>
                            <w:left w:val="none" w:sz="0" w:space="0" w:color="auto"/>
                            <w:bottom w:val="none" w:sz="0" w:space="0" w:color="auto"/>
                            <w:right w:val="none" w:sz="0" w:space="0" w:color="auto"/>
                          </w:divBdr>
                          <w:divsChild>
                            <w:div w:id="86930973">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7837367">
      <w:bodyDiv w:val="1"/>
      <w:marLeft w:val="0"/>
      <w:marRight w:val="0"/>
      <w:marTop w:val="0"/>
      <w:marBottom w:val="0"/>
      <w:divBdr>
        <w:top w:val="none" w:sz="0" w:space="0" w:color="auto"/>
        <w:left w:val="none" w:sz="0" w:space="0" w:color="auto"/>
        <w:bottom w:val="none" w:sz="0" w:space="0" w:color="auto"/>
        <w:right w:val="none" w:sz="0" w:space="0" w:color="auto"/>
      </w:divBdr>
      <w:divsChild>
        <w:div w:id="195311343">
          <w:marLeft w:val="1627"/>
          <w:marRight w:val="0"/>
          <w:marTop w:val="100"/>
          <w:marBottom w:val="0"/>
          <w:divBdr>
            <w:top w:val="none" w:sz="0" w:space="0" w:color="auto"/>
            <w:left w:val="none" w:sz="0" w:space="0" w:color="auto"/>
            <w:bottom w:val="none" w:sz="0" w:space="0" w:color="auto"/>
            <w:right w:val="none" w:sz="0" w:space="0" w:color="auto"/>
          </w:divBdr>
        </w:div>
        <w:div w:id="358287188">
          <w:marLeft w:val="547"/>
          <w:marRight w:val="0"/>
          <w:marTop w:val="200"/>
          <w:marBottom w:val="0"/>
          <w:divBdr>
            <w:top w:val="none" w:sz="0" w:space="0" w:color="auto"/>
            <w:left w:val="none" w:sz="0" w:space="0" w:color="auto"/>
            <w:bottom w:val="none" w:sz="0" w:space="0" w:color="auto"/>
            <w:right w:val="none" w:sz="0" w:space="0" w:color="auto"/>
          </w:divBdr>
        </w:div>
        <w:div w:id="360937961">
          <w:marLeft w:val="1627"/>
          <w:marRight w:val="0"/>
          <w:marTop w:val="100"/>
          <w:marBottom w:val="0"/>
          <w:divBdr>
            <w:top w:val="none" w:sz="0" w:space="0" w:color="auto"/>
            <w:left w:val="none" w:sz="0" w:space="0" w:color="auto"/>
            <w:bottom w:val="none" w:sz="0" w:space="0" w:color="auto"/>
            <w:right w:val="none" w:sz="0" w:space="0" w:color="auto"/>
          </w:divBdr>
        </w:div>
        <w:div w:id="767696189">
          <w:marLeft w:val="547"/>
          <w:marRight w:val="0"/>
          <w:marTop w:val="200"/>
          <w:marBottom w:val="0"/>
          <w:divBdr>
            <w:top w:val="none" w:sz="0" w:space="0" w:color="auto"/>
            <w:left w:val="none" w:sz="0" w:space="0" w:color="auto"/>
            <w:bottom w:val="none" w:sz="0" w:space="0" w:color="auto"/>
            <w:right w:val="none" w:sz="0" w:space="0" w:color="auto"/>
          </w:divBdr>
        </w:div>
        <w:div w:id="851577577">
          <w:marLeft w:val="547"/>
          <w:marRight w:val="0"/>
          <w:marTop w:val="200"/>
          <w:marBottom w:val="0"/>
          <w:divBdr>
            <w:top w:val="none" w:sz="0" w:space="0" w:color="auto"/>
            <w:left w:val="none" w:sz="0" w:space="0" w:color="auto"/>
            <w:bottom w:val="none" w:sz="0" w:space="0" w:color="auto"/>
            <w:right w:val="none" w:sz="0" w:space="0" w:color="auto"/>
          </w:divBdr>
        </w:div>
        <w:div w:id="1133135371">
          <w:marLeft w:val="1627"/>
          <w:marRight w:val="0"/>
          <w:marTop w:val="100"/>
          <w:marBottom w:val="0"/>
          <w:divBdr>
            <w:top w:val="none" w:sz="0" w:space="0" w:color="auto"/>
            <w:left w:val="none" w:sz="0" w:space="0" w:color="auto"/>
            <w:bottom w:val="none" w:sz="0" w:space="0" w:color="auto"/>
            <w:right w:val="none" w:sz="0" w:space="0" w:color="auto"/>
          </w:divBdr>
        </w:div>
        <w:div w:id="1904368098">
          <w:marLeft w:val="1627"/>
          <w:marRight w:val="0"/>
          <w:marTop w:val="100"/>
          <w:marBottom w:val="0"/>
          <w:divBdr>
            <w:top w:val="none" w:sz="0" w:space="0" w:color="auto"/>
            <w:left w:val="none" w:sz="0" w:space="0" w:color="auto"/>
            <w:bottom w:val="none" w:sz="0" w:space="0" w:color="auto"/>
            <w:right w:val="none" w:sz="0" w:space="0" w:color="auto"/>
          </w:divBdr>
        </w:div>
      </w:divsChild>
    </w:div>
    <w:div w:id="262886147">
      <w:bodyDiv w:val="1"/>
      <w:marLeft w:val="0"/>
      <w:marRight w:val="0"/>
      <w:marTop w:val="0"/>
      <w:marBottom w:val="0"/>
      <w:divBdr>
        <w:top w:val="none" w:sz="0" w:space="0" w:color="auto"/>
        <w:left w:val="none" w:sz="0" w:space="0" w:color="auto"/>
        <w:bottom w:val="none" w:sz="0" w:space="0" w:color="auto"/>
        <w:right w:val="none" w:sz="0" w:space="0" w:color="auto"/>
      </w:divBdr>
    </w:div>
    <w:div w:id="264920584">
      <w:bodyDiv w:val="1"/>
      <w:marLeft w:val="0"/>
      <w:marRight w:val="0"/>
      <w:marTop w:val="0"/>
      <w:marBottom w:val="0"/>
      <w:divBdr>
        <w:top w:val="none" w:sz="0" w:space="0" w:color="auto"/>
        <w:left w:val="none" w:sz="0" w:space="0" w:color="auto"/>
        <w:bottom w:val="none" w:sz="0" w:space="0" w:color="auto"/>
        <w:right w:val="none" w:sz="0" w:space="0" w:color="auto"/>
      </w:divBdr>
    </w:div>
    <w:div w:id="329454932">
      <w:bodyDiv w:val="1"/>
      <w:marLeft w:val="0"/>
      <w:marRight w:val="0"/>
      <w:marTop w:val="0"/>
      <w:marBottom w:val="0"/>
      <w:divBdr>
        <w:top w:val="none" w:sz="0" w:space="0" w:color="auto"/>
        <w:left w:val="none" w:sz="0" w:space="0" w:color="auto"/>
        <w:bottom w:val="none" w:sz="0" w:space="0" w:color="auto"/>
        <w:right w:val="none" w:sz="0" w:space="0" w:color="auto"/>
      </w:divBdr>
    </w:div>
    <w:div w:id="344670513">
      <w:bodyDiv w:val="1"/>
      <w:marLeft w:val="0"/>
      <w:marRight w:val="0"/>
      <w:marTop w:val="0"/>
      <w:marBottom w:val="0"/>
      <w:divBdr>
        <w:top w:val="none" w:sz="0" w:space="0" w:color="auto"/>
        <w:left w:val="none" w:sz="0" w:space="0" w:color="auto"/>
        <w:bottom w:val="none" w:sz="0" w:space="0" w:color="auto"/>
        <w:right w:val="none" w:sz="0" w:space="0" w:color="auto"/>
      </w:divBdr>
    </w:div>
    <w:div w:id="369841679">
      <w:bodyDiv w:val="1"/>
      <w:marLeft w:val="0"/>
      <w:marRight w:val="0"/>
      <w:marTop w:val="0"/>
      <w:marBottom w:val="0"/>
      <w:divBdr>
        <w:top w:val="none" w:sz="0" w:space="0" w:color="auto"/>
        <w:left w:val="none" w:sz="0" w:space="0" w:color="auto"/>
        <w:bottom w:val="none" w:sz="0" w:space="0" w:color="auto"/>
        <w:right w:val="none" w:sz="0" w:space="0" w:color="auto"/>
      </w:divBdr>
    </w:div>
    <w:div w:id="377514923">
      <w:bodyDiv w:val="1"/>
      <w:marLeft w:val="0"/>
      <w:marRight w:val="0"/>
      <w:marTop w:val="0"/>
      <w:marBottom w:val="0"/>
      <w:divBdr>
        <w:top w:val="none" w:sz="0" w:space="0" w:color="auto"/>
        <w:left w:val="none" w:sz="0" w:space="0" w:color="auto"/>
        <w:bottom w:val="none" w:sz="0" w:space="0" w:color="auto"/>
        <w:right w:val="none" w:sz="0" w:space="0" w:color="auto"/>
      </w:divBdr>
    </w:div>
    <w:div w:id="400294304">
      <w:bodyDiv w:val="1"/>
      <w:marLeft w:val="0"/>
      <w:marRight w:val="0"/>
      <w:marTop w:val="0"/>
      <w:marBottom w:val="0"/>
      <w:divBdr>
        <w:top w:val="none" w:sz="0" w:space="0" w:color="auto"/>
        <w:left w:val="none" w:sz="0" w:space="0" w:color="auto"/>
        <w:bottom w:val="none" w:sz="0" w:space="0" w:color="auto"/>
        <w:right w:val="none" w:sz="0" w:space="0" w:color="auto"/>
      </w:divBdr>
      <w:divsChild>
        <w:div w:id="1934120630">
          <w:marLeft w:val="0"/>
          <w:marRight w:val="0"/>
          <w:marTop w:val="0"/>
          <w:marBottom w:val="0"/>
          <w:divBdr>
            <w:top w:val="none" w:sz="0" w:space="0" w:color="auto"/>
            <w:left w:val="none" w:sz="0" w:space="0" w:color="auto"/>
            <w:bottom w:val="none" w:sz="0" w:space="0" w:color="auto"/>
            <w:right w:val="none" w:sz="0" w:space="0" w:color="auto"/>
          </w:divBdr>
          <w:divsChild>
            <w:div w:id="1794447822">
              <w:marLeft w:val="0"/>
              <w:marRight w:val="0"/>
              <w:marTop w:val="0"/>
              <w:marBottom w:val="0"/>
              <w:divBdr>
                <w:top w:val="none" w:sz="0" w:space="0" w:color="auto"/>
                <w:left w:val="none" w:sz="0" w:space="0" w:color="auto"/>
                <w:bottom w:val="none" w:sz="0" w:space="0" w:color="auto"/>
                <w:right w:val="none" w:sz="0" w:space="0" w:color="auto"/>
              </w:divBdr>
              <w:divsChild>
                <w:div w:id="1878733620">
                  <w:marLeft w:val="0"/>
                  <w:marRight w:val="0"/>
                  <w:marTop w:val="0"/>
                  <w:marBottom w:val="0"/>
                  <w:divBdr>
                    <w:top w:val="none" w:sz="0" w:space="0" w:color="auto"/>
                    <w:left w:val="none" w:sz="0" w:space="0" w:color="auto"/>
                    <w:bottom w:val="none" w:sz="0" w:space="0" w:color="auto"/>
                    <w:right w:val="none" w:sz="0" w:space="0" w:color="auto"/>
                  </w:divBdr>
                  <w:divsChild>
                    <w:div w:id="802581404">
                      <w:marLeft w:val="0"/>
                      <w:marRight w:val="0"/>
                      <w:marTop w:val="0"/>
                      <w:marBottom w:val="0"/>
                      <w:divBdr>
                        <w:top w:val="none" w:sz="0" w:space="0" w:color="auto"/>
                        <w:left w:val="none" w:sz="0" w:space="0" w:color="auto"/>
                        <w:bottom w:val="none" w:sz="0" w:space="0" w:color="auto"/>
                        <w:right w:val="none" w:sz="0" w:space="0" w:color="auto"/>
                      </w:divBdr>
                      <w:divsChild>
                        <w:div w:id="1548181175">
                          <w:marLeft w:val="0"/>
                          <w:marRight w:val="0"/>
                          <w:marTop w:val="0"/>
                          <w:marBottom w:val="0"/>
                          <w:divBdr>
                            <w:top w:val="none" w:sz="0" w:space="0" w:color="auto"/>
                            <w:left w:val="none" w:sz="0" w:space="0" w:color="auto"/>
                            <w:bottom w:val="none" w:sz="0" w:space="0" w:color="auto"/>
                            <w:right w:val="none" w:sz="0" w:space="0" w:color="auto"/>
                          </w:divBdr>
                          <w:divsChild>
                            <w:div w:id="225142507">
                              <w:marLeft w:val="0"/>
                              <w:marRight w:val="0"/>
                              <w:marTop w:val="0"/>
                              <w:marBottom w:val="0"/>
                              <w:divBdr>
                                <w:top w:val="none" w:sz="0" w:space="0" w:color="auto"/>
                                <w:left w:val="none" w:sz="0" w:space="0" w:color="auto"/>
                                <w:bottom w:val="none" w:sz="0" w:space="0" w:color="auto"/>
                                <w:right w:val="none" w:sz="0" w:space="0" w:color="auto"/>
                              </w:divBdr>
                              <w:divsChild>
                                <w:div w:id="768815258">
                                  <w:marLeft w:val="0"/>
                                  <w:marRight w:val="0"/>
                                  <w:marTop w:val="0"/>
                                  <w:marBottom w:val="0"/>
                                  <w:divBdr>
                                    <w:top w:val="none" w:sz="0" w:space="0" w:color="auto"/>
                                    <w:left w:val="none" w:sz="0" w:space="0" w:color="auto"/>
                                    <w:bottom w:val="none" w:sz="0" w:space="0" w:color="auto"/>
                                    <w:right w:val="none" w:sz="0" w:space="0" w:color="auto"/>
                                  </w:divBdr>
                                  <w:divsChild>
                                    <w:div w:id="1637178115">
                                      <w:marLeft w:val="0"/>
                                      <w:marRight w:val="0"/>
                                      <w:marTop w:val="0"/>
                                      <w:marBottom w:val="0"/>
                                      <w:divBdr>
                                        <w:top w:val="none" w:sz="0" w:space="0" w:color="auto"/>
                                        <w:left w:val="none" w:sz="0" w:space="0" w:color="auto"/>
                                        <w:bottom w:val="none" w:sz="0" w:space="0" w:color="auto"/>
                                        <w:right w:val="none" w:sz="0" w:space="0" w:color="auto"/>
                                      </w:divBdr>
                                      <w:divsChild>
                                        <w:div w:id="41367261">
                                          <w:marLeft w:val="0"/>
                                          <w:marRight w:val="0"/>
                                          <w:marTop w:val="0"/>
                                          <w:marBottom w:val="0"/>
                                          <w:divBdr>
                                            <w:top w:val="none" w:sz="0" w:space="0" w:color="auto"/>
                                            <w:left w:val="none" w:sz="0" w:space="0" w:color="auto"/>
                                            <w:bottom w:val="none" w:sz="0" w:space="0" w:color="auto"/>
                                            <w:right w:val="none" w:sz="0" w:space="0" w:color="auto"/>
                                          </w:divBdr>
                                          <w:divsChild>
                                            <w:div w:id="82890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2895393">
      <w:bodyDiv w:val="1"/>
      <w:marLeft w:val="0"/>
      <w:marRight w:val="0"/>
      <w:marTop w:val="0"/>
      <w:marBottom w:val="0"/>
      <w:divBdr>
        <w:top w:val="none" w:sz="0" w:space="0" w:color="auto"/>
        <w:left w:val="none" w:sz="0" w:space="0" w:color="auto"/>
        <w:bottom w:val="none" w:sz="0" w:space="0" w:color="auto"/>
        <w:right w:val="none" w:sz="0" w:space="0" w:color="auto"/>
      </w:divBdr>
    </w:div>
    <w:div w:id="445464610">
      <w:bodyDiv w:val="1"/>
      <w:marLeft w:val="0"/>
      <w:marRight w:val="0"/>
      <w:marTop w:val="0"/>
      <w:marBottom w:val="0"/>
      <w:divBdr>
        <w:top w:val="none" w:sz="0" w:space="0" w:color="auto"/>
        <w:left w:val="none" w:sz="0" w:space="0" w:color="auto"/>
        <w:bottom w:val="none" w:sz="0" w:space="0" w:color="auto"/>
        <w:right w:val="none" w:sz="0" w:space="0" w:color="auto"/>
      </w:divBdr>
    </w:div>
    <w:div w:id="450590893">
      <w:bodyDiv w:val="1"/>
      <w:marLeft w:val="0"/>
      <w:marRight w:val="0"/>
      <w:marTop w:val="0"/>
      <w:marBottom w:val="0"/>
      <w:divBdr>
        <w:top w:val="none" w:sz="0" w:space="0" w:color="auto"/>
        <w:left w:val="none" w:sz="0" w:space="0" w:color="auto"/>
        <w:bottom w:val="none" w:sz="0" w:space="0" w:color="auto"/>
        <w:right w:val="none" w:sz="0" w:space="0" w:color="auto"/>
      </w:divBdr>
      <w:divsChild>
        <w:div w:id="220334337">
          <w:marLeft w:val="547"/>
          <w:marRight w:val="0"/>
          <w:marTop w:val="200"/>
          <w:marBottom w:val="0"/>
          <w:divBdr>
            <w:top w:val="none" w:sz="0" w:space="0" w:color="auto"/>
            <w:left w:val="none" w:sz="0" w:space="0" w:color="auto"/>
            <w:bottom w:val="none" w:sz="0" w:space="0" w:color="auto"/>
            <w:right w:val="none" w:sz="0" w:space="0" w:color="auto"/>
          </w:divBdr>
        </w:div>
        <w:div w:id="1219823621">
          <w:marLeft w:val="547"/>
          <w:marRight w:val="0"/>
          <w:marTop w:val="200"/>
          <w:marBottom w:val="0"/>
          <w:divBdr>
            <w:top w:val="none" w:sz="0" w:space="0" w:color="auto"/>
            <w:left w:val="none" w:sz="0" w:space="0" w:color="auto"/>
            <w:bottom w:val="none" w:sz="0" w:space="0" w:color="auto"/>
            <w:right w:val="none" w:sz="0" w:space="0" w:color="auto"/>
          </w:divBdr>
        </w:div>
        <w:div w:id="1497110912">
          <w:marLeft w:val="547"/>
          <w:marRight w:val="0"/>
          <w:marTop w:val="200"/>
          <w:marBottom w:val="0"/>
          <w:divBdr>
            <w:top w:val="none" w:sz="0" w:space="0" w:color="auto"/>
            <w:left w:val="none" w:sz="0" w:space="0" w:color="auto"/>
            <w:bottom w:val="none" w:sz="0" w:space="0" w:color="auto"/>
            <w:right w:val="none" w:sz="0" w:space="0" w:color="auto"/>
          </w:divBdr>
        </w:div>
        <w:div w:id="1667514557">
          <w:marLeft w:val="547"/>
          <w:marRight w:val="0"/>
          <w:marTop w:val="200"/>
          <w:marBottom w:val="0"/>
          <w:divBdr>
            <w:top w:val="none" w:sz="0" w:space="0" w:color="auto"/>
            <w:left w:val="none" w:sz="0" w:space="0" w:color="auto"/>
            <w:bottom w:val="none" w:sz="0" w:space="0" w:color="auto"/>
            <w:right w:val="none" w:sz="0" w:space="0" w:color="auto"/>
          </w:divBdr>
        </w:div>
        <w:div w:id="1941526839">
          <w:marLeft w:val="547"/>
          <w:marRight w:val="0"/>
          <w:marTop w:val="200"/>
          <w:marBottom w:val="0"/>
          <w:divBdr>
            <w:top w:val="none" w:sz="0" w:space="0" w:color="auto"/>
            <w:left w:val="none" w:sz="0" w:space="0" w:color="auto"/>
            <w:bottom w:val="none" w:sz="0" w:space="0" w:color="auto"/>
            <w:right w:val="none" w:sz="0" w:space="0" w:color="auto"/>
          </w:divBdr>
        </w:div>
      </w:divsChild>
    </w:div>
    <w:div w:id="472912829">
      <w:bodyDiv w:val="1"/>
      <w:marLeft w:val="0"/>
      <w:marRight w:val="0"/>
      <w:marTop w:val="0"/>
      <w:marBottom w:val="0"/>
      <w:divBdr>
        <w:top w:val="none" w:sz="0" w:space="0" w:color="auto"/>
        <w:left w:val="none" w:sz="0" w:space="0" w:color="auto"/>
        <w:bottom w:val="none" w:sz="0" w:space="0" w:color="auto"/>
        <w:right w:val="none" w:sz="0" w:space="0" w:color="auto"/>
      </w:divBdr>
      <w:divsChild>
        <w:div w:id="936402905">
          <w:marLeft w:val="0"/>
          <w:marRight w:val="0"/>
          <w:marTop w:val="0"/>
          <w:marBottom w:val="0"/>
          <w:divBdr>
            <w:top w:val="none" w:sz="0" w:space="0" w:color="auto"/>
            <w:left w:val="none" w:sz="0" w:space="0" w:color="auto"/>
            <w:bottom w:val="none" w:sz="0" w:space="0" w:color="auto"/>
            <w:right w:val="none" w:sz="0" w:space="0" w:color="auto"/>
          </w:divBdr>
          <w:divsChild>
            <w:div w:id="1577468801">
              <w:marLeft w:val="0"/>
              <w:marRight w:val="0"/>
              <w:marTop w:val="0"/>
              <w:marBottom w:val="0"/>
              <w:divBdr>
                <w:top w:val="none" w:sz="0" w:space="0" w:color="auto"/>
                <w:left w:val="none" w:sz="0" w:space="0" w:color="auto"/>
                <w:bottom w:val="none" w:sz="0" w:space="0" w:color="auto"/>
                <w:right w:val="none" w:sz="0" w:space="0" w:color="auto"/>
              </w:divBdr>
              <w:divsChild>
                <w:div w:id="1107433413">
                  <w:marLeft w:val="0"/>
                  <w:marRight w:val="0"/>
                  <w:marTop w:val="0"/>
                  <w:marBottom w:val="0"/>
                  <w:divBdr>
                    <w:top w:val="none" w:sz="0" w:space="0" w:color="auto"/>
                    <w:left w:val="none" w:sz="0" w:space="0" w:color="auto"/>
                    <w:bottom w:val="none" w:sz="0" w:space="0" w:color="auto"/>
                    <w:right w:val="none" w:sz="0" w:space="0" w:color="auto"/>
                  </w:divBdr>
                  <w:divsChild>
                    <w:div w:id="1486243833">
                      <w:marLeft w:val="0"/>
                      <w:marRight w:val="0"/>
                      <w:marTop w:val="0"/>
                      <w:marBottom w:val="0"/>
                      <w:divBdr>
                        <w:top w:val="none" w:sz="0" w:space="0" w:color="auto"/>
                        <w:left w:val="none" w:sz="0" w:space="0" w:color="auto"/>
                        <w:bottom w:val="none" w:sz="0" w:space="0" w:color="auto"/>
                        <w:right w:val="none" w:sz="0" w:space="0" w:color="auto"/>
                      </w:divBdr>
                      <w:divsChild>
                        <w:div w:id="1760101849">
                          <w:marLeft w:val="0"/>
                          <w:marRight w:val="0"/>
                          <w:marTop w:val="0"/>
                          <w:marBottom w:val="0"/>
                          <w:divBdr>
                            <w:top w:val="none" w:sz="0" w:space="0" w:color="auto"/>
                            <w:left w:val="none" w:sz="0" w:space="0" w:color="auto"/>
                            <w:bottom w:val="none" w:sz="0" w:space="0" w:color="auto"/>
                            <w:right w:val="none" w:sz="0" w:space="0" w:color="auto"/>
                          </w:divBdr>
                          <w:divsChild>
                            <w:div w:id="2145808962">
                              <w:marLeft w:val="0"/>
                              <w:marRight w:val="0"/>
                              <w:marTop w:val="0"/>
                              <w:marBottom w:val="0"/>
                              <w:divBdr>
                                <w:top w:val="none" w:sz="0" w:space="0" w:color="auto"/>
                                <w:left w:val="none" w:sz="0" w:space="0" w:color="auto"/>
                                <w:bottom w:val="none" w:sz="0" w:space="0" w:color="auto"/>
                                <w:right w:val="none" w:sz="0" w:space="0" w:color="auto"/>
                              </w:divBdr>
                              <w:divsChild>
                                <w:div w:id="1801991925">
                                  <w:marLeft w:val="0"/>
                                  <w:marRight w:val="0"/>
                                  <w:marTop w:val="0"/>
                                  <w:marBottom w:val="0"/>
                                  <w:divBdr>
                                    <w:top w:val="none" w:sz="0" w:space="0" w:color="auto"/>
                                    <w:left w:val="none" w:sz="0" w:space="0" w:color="auto"/>
                                    <w:bottom w:val="none" w:sz="0" w:space="0" w:color="auto"/>
                                    <w:right w:val="none" w:sz="0" w:space="0" w:color="auto"/>
                                  </w:divBdr>
                                  <w:divsChild>
                                    <w:div w:id="709498647">
                                      <w:marLeft w:val="0"/>
                                      <w:marRight w:val="0"/>
                                      <w:marTop w:val="0"/>
                                      <w:marBottom w:val="0"/>
                                      <w:divBdr>
                                        <w:top w:val="none" w:sz="0" w:space="0" w:color="auto"/>
                                        <w:left w:val="none" w:sz="0" w:space="0" w:color="auto"/>
                                        <w:bottom w:val="none" w:sz="0" w:space="0" w:color="auto"/>
                                        <w:right w:val="none" w:sz="0" w:space="0" w:color="auto"/>
                                      </w:divBdr>
                                      <w:divsChild>
                                        <w:div w:id="96146281">
                                          <w:marLeft w:val="0"/>
                                          <w:marRight w:val="0"/>
                                          <w:marTop w:val="0"/>
                                          <w:marBottom w:val="0"/>
                                          <w:divBdr>
                                            <w:top w:val="none" w:sz="0" w:space="0" w:color="auto"/>
                                            <w:left w:val="none" w:sz="0" w:space="0" w:color="auto"/>
                                            <w:bottom w:val="none" w:sz="0" w:space="0" w:color="auto"/>
                                            <w:right w:val="none" w:sz="0" w:space="0" w:color="auto"/>
                                          </w:divBdr>
                                          <w:divsChild>
                                            <w:div w:id="9069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02554537">
      <w:bodyDiv w:val="1"/>
      <w:marLeft w:val="0"/>
      <w:marRight w:val="0"/>
      <w:marTop w:val="0"/>
      <w:marBottom w:val="0"/>
      <w:divBdr>
        <w:top w:val="none" w:sz="0" w:space="0" w:color="auto"/>
        <w:left w:val="none" w:sz="0" w:space="0" w:color="auto"/>
        <w:bottom w:val="none" w:sz="0" w:space="0" w:color="auto"/>
        <w:right w:val="none" w:sz="0" w:space="0" w:color="auto"/>
      </w:divBdr>
    </w:div>
    <w:div w:id="514080774">
      <w:bodyDiv w:val="1"/>
      <w:marLeft w:val="0"/>
      <w:marRight w:val="0"/>
      <w:marTop w:val="0"/>
      <w:marBottom w:val="0"/>
      <w:divBdr>
        <w:top w:val="none" w:sz="0" w:space="0" w:color="auto"/>
        <w:left w:val="none" w:sz="0" w:space="0" w:color="auto"/>
        <w:bottom w:val="none" w:sz="0" w:space="0" w:color="auto"/>
        <w:right w:val="none" w:sz="0" w:space="0" w:color="auto"/>
      </w:divBdr>
    </w:div>
    <w:div w:id="515005195">
      <w:bodyDiv w:val="1"/>
      <w:marLeft w:val="0"/>
      <w:marRight w:val="0"/>
      <w:marTop w:val="0"/>
      <w:marBottom w:val="0"/>
      <w:divBdr>
        <w:top w:val="none" w:sz="0" w:space="0" w:color="auto"/>
        <w:left w:val="none" w:sz="0" w:space="0" w:color="auto"/>
        <w:bottom w:val="none" w:sz="0" w:space="0" w:color="auto"/>
        <w:right w:val="none" w:sz="0" w:space="0" w:color="auto"/>
      </w:divBdr>
    </w:div>
    <w:div w:id="620648421">
      <w:bodyDiv w:val="1"/>
      <w:marLeft w:val="0"/>
      <w:marRight w:val="0"/>
      <w:marTop w:val="0"/>
      <w:marBottom w:val="0"/>
      <w:divBdr>
        <w:top w:val="none" w:sz="0" w:space="0" w:color="auto"/>
        <w:left w:val="none" w:sz="0" w:space="0" w:color="auto"/>
        <w:bottom w:val="none" w:sz="0" w:space="0" w:color="auto"/>
        <w:right w:val="none" w:sz="0" w:space="0" w:color="auto"/>
      </w:divBdr>
    </w:div>
    <w:div w:id="700784302">
      <w:bodyDiv w:val="1"/>
      <w:marLeft w:val="0"/>
      <w:marRight w:val="0"/>
      <w:marTop w:val="0"/>
      <w:marBottom w:val="0"/>
      <w:divBdr>
        <w:top w:val="none" w:sz="0" w:space="0" w:color="auto"/>
        <w:left w:val="none" w:sz="0" w:space="0" w:color="auto"/>
        <w:bottom w:val="none" w:sz="0" w:space="0" w:color="auto"/>
        <w:right w:val="none" w:sz="0" w:space="0" w:color="auto"/>
      </w:divBdr>
    </w:div>
    <w:div w:id="750977611">
      <w:bodyDiv w:val="1"/>
      <w:marLeft w:val="0"/>
      <w:marRight w:val="0"/>
      <w:marTop w:val="0"/>
      <w:marBottom w:val="0"/>
      <w:divBdr>
        <w:top w:val="none" w:sz="0" w:space="0" w:color="auto"/>
        <w:left w:val="none" w:sz="0" w:space="0" w:color="auto"/>
        <w:bottom w:val="none" w:sz="0" w:space="0" w:color="auto"/>
        <w:right w:val="none" w:sz="0" w:space="0" w:color="auto"/>
      </w:divBdr>
      <w:divsChild>
        <w:div w:id="1144084497">
          <w:marLeft w:val="0"/>
          <w:marRight w:val="0"/>
          <w:marTop w:val="0"/>
          <w:marBottom w:val="0"/>
          <w:divBdr>
            <w:top w:val="none" w:sz="0" w:space="0" w:color="auto"/>
            <w:left w:val="none" w:sz="0" w:space="0" w:color="auto"/>
            <w:bottom w:val="none" w:sz="0" w:space="0" w:color="auto"/>
            <w:right w:val="none" w:sz="0" w:space="0" w:color="auto"/>
          </w:divBdr>
          <w:divsChild>
            <w:div w:id="905337183">
              <w:marLeft w:val="0"/>
              <w:marRight w:val="0"/>
              <w:marTop w:val="0"/>
              <w:marBottom w:val="0"/>
              <w:divBdr>
                <w:top w:val="none" w:sz="0" w:space="0" w:color="auto"/>
                <w:left w:val="none" w:sz="0" w:space="0" w:color="auto"/>
                <w:bottom w:val="none" w:sz="0" w:space="0" w:color="auto"/>
                <w:right w:val="none" w:sz="0" w:space="0" w:color="auto"/>
              </w:divBdr>
              <w:divsChild>
                <w:div w:id="824129431">
                  <w:marLeft w:val="0"/>
                  <w:marRight w:val="0"/>
                  <w:marTop w:val="0"/>
                  <w:marBottom w:val="0"/>
                  <w:divBdr>
                    <w:top w:val="none" w:sz="0" w:space="0" w:color="auto"/>
                    <w:left w:val="none" w:sz="0" w:space="0" w:color="auto"/>
                    <w:bottom w:val="none" w:sz="0" w:space="0" w:color="auto"/>
                    <w:right w:val="none" w:sz="0" w:space="0" w:color="auto"/>
                  </w:divBdr>
                  <w:divsChild>
                    <w:div w:id="1464883941">
                      <w:marLeft w:val="0"/>
                      <w:marRight w:val="0"/>
                      <w:marTop w:val="0"/>
                      <w:marBottom w:val="0"/>
                      <w:divBdr>
                        <w:top w:val="none" w:sz="0" w:space="0" w:color="auto"/>
                        <w:left w:val="none" w:sz="0" w:space="0" w:color="auto"/>
                        <w:bottom w:val="none" w:sz="0" w:space="0" w:color="auto"/>
                        <w:right w:val="none" w:sz="0" w:space="0" w:color="auto"/>
                      </w:divBdr>
                      <w:divsChild>
                        <w:div w:id="658120568">
                          <w:marLeft w:val="0"/>
                          <w:marRight w:val="0"/>
                          <w:marTop w:val="0"/>
                          <w:marBottom w:val="0"/>
                          <w:divBdr>
                            <w:top w:val="none" w:sz="0" w:space="0" w:color="auto"/>
                            <w:left w:val="none" w:sz="0" w:space="0" w:color="auto"/>
                            <w:bottom w:val="none" w:sz="0" w:space="0" w:color="auto"/>
                            <w:right w:val="none" w:sz="0" w:space="0" w:color="auto"/>
                          </w:divBdr>
                          <w:divsChild>
                            <w:div w:id="583343297">
                              <w:marLeft w:val="0"/>
                              <w:marRight w:val="0"/>
                              <w:marTop w:val="0"/>
                              <w:marBottom w:val="0"/>
                              <w:divBdr>
                                <w:top w:val="none" w:sz="0" w:space="0" w:color="auto"/>
                                <w:left w:val="none" w:sz="0" w:space="0" w:color="auto"/>
                                <w:bottom w:val="none" w:sz="0" w:space="0" w:color="auto"/>
                                <w:right w:val="none" w:sz="0" w:space="0" w:color="auto"/>
                              </w:divBdr>
                              <w:divsChild>
                                <w:div w:id="1959334474">
                                  <w:marLeft w:val="0"/>
                                  <w:marRight w:val="0"/>
                                  <w:marTop w:val="0"/>
                                  <w:marBottom w:val="0"/>
                                  <w:divBdr>
                                    <w:top w:val="none" w:sz="0" w:space="0" w:color="auto"/>
                                    <w:left w:val="none" w:sz="0" w:space="0" w:color="auto"/>
                                    <w:bottom w:val="none" w:sz="0" w:space="0" w:color="auto"/>
                                    <w:right w:val="none" w:sz="0" w:space="0" w:color="auto"/>
                                  </w:divBdr>
                                  <w:divsChild>
                                    <w:div w:id="340671315">
                                      <w:marLeft w:val="0"/>
                                      <w:marRight w:val="0"/>
                                      <w:marTop w:val="0"/>
                                      <w:marBottom w:val="0"/>
                                      <w:divBdr>
                                        <w:top w:val="none" w:sz="0" w:space="0" w:color="auto"/>
                                        <w:left w:val="none" w:sz="0" w:space="0" w:color="auto"/>
                                        <w:bottom w:val="none" w:sz="0" w:space="0" w:color="auto"/>
                                        <w:right w:val="none" w:sz="0" w:space="0" w:color="auto"/>
                                      </w:divBdr>
                                      <w:divsChild>
                                        <w:div w:id="1888712309">
                                          <w:marLeft w:val="0"/>
                                          <w:marRight w:val="0"/>
                                          <w:marTop w:val="0"/>
                                          <w:marBottom w:val="0"/>
                                          <w:divBdr>
                                            <w:top w:val="none" w:sz="0" w:space="0" w:color="auto"/>
                                            <w:left w:val="none" w:sz="0" w:space="0" w:color="auto"/>
                                            <w:bottom w:val="none" w:sz="0" w:space="0" w:color="auto"/>
                                            <w:right w:val="none" w:sz="0" w:space="0" w:color="auto"/>
                                          </w:divBdr>
                                          <w:divsChild>
                                            <w:div w:id="158086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7601086">
      <w:bodyDiv w:val="1"/>
      <w:marLeft w:val="0"/>
      <w:marRight w:val="0"/>
      <w:marTop w:val="0"/>
      <w:marBottom w:val="0"/>
      <w:divBdr>
        <w:top w:val="none" w:sz="0" w:space="0" w:color="auto"/>
        <w:left w:val="none" w:sz="0" w:space="0" w:color="auto"/>
        <w:bottom w:val="none" w:sz="0" w:space="0" w:color="auto"/>
        <w:right w:val="none" w:sz="0" w:space="0" w:color="auto"/>
      </w:divBdr>
    </w:div>
    <w:div w:id="876699701">
      <w:bodyDiv w:val="1"/>
      <w:marLeft w:val="0"/>
      <w:marRight w:val="0"/>
      <w:marTop w:val="0"/>
      <w:marBottom w:val="0"/>
      <w:divBdr>
        <w:top w:val="none" w:sz="0" w:space="0" w:color="auto"/>
        <w:left w:val="none" w:sz="0" w:space="0" w:color="auto"/>
        <w:bottom w:val="none" w:sz="0" w:space="0" w:color="auto"/>
        <w:right w:val="none" w:sz="0" w:space="0" w:color="auto"/>
      </w:divBdr>
    </w:div>
    <w:div w:id="915750587">
      <w:bodyDiv w:val="1"/>
      <w:marLeft w:val="0"/>
      <w:marRight w:val="0"/>
      <w:marTop w:val="0"/>
      <w:marBottom w:val="0"/>
      <w:divBdr>
        <w:top w:val="none" w:sz="0" w:space="0" w:color="auto"/>
        <w:left w:val="none" w:sz="0" w:space="0" w:color="auto"/>
        <w:bottom w:val="none" w:sz="0" w:space="0" w:color="auto"/>
        <w:right w:val="none" w:sz="0" w:space="0" w:color="auto"/>
      </w:divBdr>
    </w:div>
    <w:div w:id="1064186576">
      <w:bodyDiv w:val="1"/>
      <w:marLeft w:val="0"/>
      <w:marRight w:val="0"/>
      <w:marTop w:val="0"/>
      <w:marBottom w:val="0"/>
      <w:divBdr>
        <w:top w:val="none" w:sz="0" w:space="0" w:color="auto"/>
        <w:left w:val="none" w:sz="0" w:space="0" w:color="auto"/>
        <w:bottom w:val="none" w:sz="0" w:space="0" w:color="auto"/>
        <w:right w:val="none" w:sz="0" w:space="0" w:color="auto"/>
      </w:divBdr>
      <w:divsChild>
        <w:div w:id="1723019632">
          <w:marLeft w:val="0"/>
          <w:marRight w:val="0"/>
          <w:marTop w:val="0"/>
          <w:marBottom w:val="0"/>
          <w:divBdr>
            <w:top w:val="none" w:sz="0" w:space="0" w:color="auto"/>
            <w:left w:val="none" w:sz="0" w:space="0" w:color="auto"/>
            <w:bottom w:val="none" w:sz="0" w:space="0" w:color="auto"/>
            <w:right w:val="none" w:sz="0" w:space="0" w:color="auto"/>
          </w:divBdr>
          <w:divsChild>
            <w:div w:id="1952081403">
              <w:marLeft w:val="0"/>
              <w:marRight w:val="0"/>
              <w:marTop w:val="0"/>
              <w:marBottom w:val="0"/>
              <w:divBdr>
                <w:top w:val="none" w:sz="0" w:space="0" w:color="auto"/>
                <w:left w:val="none" w:sz="0" w:space="0" w:color="auto"/>
                <w:bottom w:val="none" w:sz="0" w:space="0" w:color="auto"/>
                <w:right w:val="none" w:sz="0" w:space="0" w:color="auto"/>
              </w:divBdr>
              <w:divsChild>
                <w:div w:id="338847984">
                  <w:marLeft w:val="0"/>
                  <w:marRight w:val="0"/>
                  <w:marTop w:val="0"/>
                  <w:marBottom w:val="0"/>
                  <w:divBdr>
                    <w:top w:val="none" w:sz="0" w:space="0" w:color="auto"/>
                    <w:left w:val="none" w:sz="0" w:space="0" w:color="auto"/>
                    <w:bottom w:val="none" w:sz="0" w:space="0" w:color="auto"/>
                    <w:right w:val="none" w:sz="0" w:space="0" w:color="auto"/>
                  </w:divBdr>
                  <w:divsChild>
                    <w:div w:id="1742873409">
                      <w:marLeft w:val="0"/>
                      <w:marRight w:val="0"/>
                      <w:marTop w:val="0"/>
                      <w:marBottom w:val="0"/>
                      <w:divBdr>
                        <w:top w:val="none" w:sz="0" w:space="0" w:color="auto"/>
                        <w:left w:val="none" w:sz="0" w:space="0" w:color="auto"/>
                        <w:bottom w:val="none" w:sz="0" w:space="0" w:color="auto"/>
                        <w:right w:val="none" w:sz="0" w:space="0" w:color="auto"/>
                      </w:divBdr>
                      <w:divsChild>
                        <w:div w:id="1921718393">
                          <w:marLeft w:val="0"/>
                          <w:marRight w:val="0"/>
                          <w:marTop w:val="0"/>
                          <w:marBottom w:val="0"/>
                          <w:divBdr>
                            <w:top w:val="none" w:sz="0" w:space="0" w:color="auto"/>
                            <w:left w:val="none" w:sz="0" w:space="0" w:color="auto"/>
                            <w:bottom w:val="none" w:sz="0" w:space="0" w:color="auto"/>
                            <w:right w:val="none" w:sz="0" w:space="0" w:color="auto"/>
                          </w:divBdr>
                          <w:divsChild>
                            <w:div w:id="1333609957">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3088475">
      <w:bodyDiv w:val="1"/>
      <w:marLeft w:val="0"/>
      <w:marRight w:val="0"/>
      <w:marTop w:val="0"/>
      <w:marBottom w:val="0"/>
      <w:divBdr>
        <w:top w:val="none" w:sz="0" w:space="0" w:color="auto"/>
        <w:left w:val="none" w:sz="0" w:space="0" w:color="auto"/>
        <w:bottom w:val="none" w:sz="0" w:space="0" w:color="auto"/>
        <w:right w:val="none" w:sz="0" w:space="0" w:color="auto"/>
      </w:divBdr>
    </w:div>
    <w:div w:id="1118136125">
      <w:bodyDiv w:val="1"/>
      <w:marLeft w:val="0"/>
      <w:marRight w:val="0"/>
      <w:marTop w:val="0"/>
      <w:marBottom w:val="0"/>
      <w:divBdr>
        <w:top w:val="none" w:sz="0" w:space="0" w:color="auto"/>
        <w:left w:val="none" w:sz="0" w:space="0" w:color="auto"/>
        <w:bottom w:val="none" w:sz="0" w:space="0" w:color="auto"/>
        <w:right w:val="none" w:sz="0" w:space="0" w:color="auto"/>
      </w:divBdr>
      <w:divsChild>
        <w:div w:id="538712194">
          <w:marLeft w:val="0"/>
          <w:marRight w:val="0"/>
          <w:marTop w:val="0"/>
          <w:marBottom w:val="0"/>
          <w:divBdr>
            <w:top w:val="none" w:sz="0" w:space="0" w:color="auto"/>
            <w:left w:val="none" w:sz="0" w:space="0" w:color="auto"/>
            <w:bottom w:val="none" w:sz="0" w:space="0" w:color="auto"/>
            <w:right w:val="none" w:sz="0" w:space="0" w:color="auto"/>
          </w:divBdr>
          <w:divsChild>
            <w:div w:id="1667635382">
              <w:marLeft w:val="0"/>
              <w:marRight w:val="0"/>
              <w:marTop w:val="0"/>
              <w:marBottom w:val="0"/>
              <w:divBdr>
                <w:top w:val="none" w:sz="0" w:space="0" w:color="auto"/>
                <w:left w:val="none" w:sz="0" w:space="0" w:color="auto"/>
                <w:bottom w:val="none" w:sz="0" w:space="0" w:color="auto"/>
                <w:right w:val="none" w:sz="0" w:space="0" w:color="auto"/>
              </w:divBdr>
              <w:divsChild>
                <w:div w:id="238710671">
                  <w:marLeft w:val="0"/>
                  <w:marRight w:val="0"/>
                  <w:marTop w:val="0"/>
                  <w:marBottom w:val="0"/>
                  <w:divBdr>
                    <w:top w:val="none" w:sz="0" w:space="0" w:color="auto"/>
                    <w:left w:val="none" w:sz="0" w:space="0" w:color="auto"/>
                    <w:bottom w:val="none" w:sz="0" w:space="0" w:color="auto"/>
                    <w:right w:val="none" w:sz="0" w:space="0" w:color="auto"/>
                  </w:divBdr>
                  <w:divsChild>
                    <w:div w:id="231279964">
                      <w:marLeft w:val="0"/>
                      <w:marRight w:val="0"/>
                      <w:marTop w:val="0"/>
                      <w:marBottom w:val="0"/>
                      <w:divBdr>
                        <w:top w:val="none" w:sz="0" w:space="0" w:color="auto"/>
                        <w:left w:val="none" w:sz="0" w:space="0" w:color="auto"/>
                        <w:bottom w:val="none" w:sz="0" w:space="0" w:color="auto"/>
                        <w:right w:val="none" w:sz="0" w:space="0" w:color="auto"/>
                      </w:divBdr>
                      <w:divsChild>
                        <w:div w:id="1071580924">
                          <w:marLeft w:val="0"/>
                          <w:marRight w:val="0"/>
                          <w:marTop w:val="0"/>
                          <w:marBottom w:val="0"/>
                          <w:divBdr>
                            <w:top w:val="none" w:sz="0" w:space="0" w:color="auto"/>
                            <w:left w:val="none" w:sz="0" w:space="0" w:color="auto"/>
                            <w:bottom w:val="none" w:sz="0" w:space="0" w:color="auto"/>
                            <w:right w:val="none" w:sz="0" w:space="0" w:color="auto"/>
                          </w:divBdr>
                          <w:divsChild>
                            <w:div w:id="78947067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2866987">
      <w:bodyDiv w:val="1"/>
      <w:marLeft w:val="0"/>
      <w:marRight w:val="0"/>
      <w:marTop w:val="0"/>
      <w:marBottom w:val="0"/>
      <w:divBdr>
        <w:top w:val="none" w:sz="0" w:space="0" w:color="auto"/>
        <w:left w:val="none" w:sz="0" w:space="0" w:color="auto"/>
        <w:bottom w:val="none" w:sz="0" w:space="0" w:color="auto"/>
        <w:right w:val="none" w:sz="0" w:space="0" w:color="auto"/>
      </w:divBdr>
      <w:divsChild>
        <w:div w:id="139617641">
          <w:marLeft w:val="547"/>
          <w:marRight w:val="0"/>
          <w:marTop w:val="200"/>
          <w:marBottom w:val="0"/>
          <w:divBdr>
            <w:top w:val="none" w:sz="0" w:space="0" w:color="auto"/>
            <w:left w:val="none" w:sz="0" w:space="0" w:color="auto"/>
            <w:bottom w:val="none" w:sz="0" w:space="0" w:color="auto"/>
            <w:right w:val="none" w:sz="0" w:space="0" w:color="auto"/>
          </w:divBdr>
        </w:div>
        <w:div w:id="212468378">
          <w:marLeft w:val="547"/>
          <w:marRight w:val="0"/>
          <w:marTop w:val="200"/>
          <w:marBottom w:val="0"/>
          <w:divBdr>
            <w:top w:val="none" w:sz="0" w:space="0" w:color="auto"/>
            <w:left w:val="none" w:sz="0" w:space="0" w:color="auto"/>
            <w:bottom w:val="none" w:sz="0" w:space="0" w:color="auto"/>
            <w:right w:val="none" w:sz="0" w:space="0" w:color="auto"/>
          </w:divBdr>
        </w:div>
        <w:div w:id="1163279556">
          <w:marLeft w:val="547"/>
          <w:marRight w:val="0"/>
          <w:marTop w:val="200"/>
          <w:marBottom w:val="0"/>
          <w:divBdr>
            <w:top w:val="none" w:sz="0" w:space="0" w:color="auto"/>
            <w:left w:val="none" w:sz="0" w:space="0" w:color="auto"/>
            <w:bottom w:val="none" w:sz="0" w:space="0" w:color="auto"/>
            <w:right w:val="none" w:sz="0" w:space="0" w:color="auto"/>
          </w:divBdr>
        </w:div>
        <w:div w:id="1491100370">
          <w:marLeft w:val="547"/>
          <w:marRight w:val="0"/>
          <w:marTop w:val="200"/>
          <w:marBottom w:val="0"/>
          <w:divBdr>
            <w:top w:val="none" w:sz="0" w:space="0" w:color="auto"/>
            <w:left w:val="none" w:sz="0" w:space="0" w:color="auto"/>
            <w:bottom w:val="none" w:sz="0" w:space="0" w:color="auto"/>
            <w:right w:val="none" w:sz="0" w:space="0" w:color="auto"/>
          </w:divBdr>
        </w:div>
        <w:div w:id="1693648471">
          <w:marLeft w:val="1267"/>
          <w:marRight w:val="0"/>
          <w:marTop w:val="200"/>
          <w:marBottom w:val="0"/>
          <w:divBdr>
            <w:top w:val="none" w:sz="0" w:space="0" w:color="auto"/>
            <w:left w:val="none" w:sz="0" w:space="0" w:color="auto"/>
            <w:bottom w:val="none" w:sz="0" w:space="0" w:color="auto"/>
            <w:right w:val="none" w:sz="0" w:space="0" w:color="auto"/>
          </w:divBdr>
        </w:div>
      </w:divsChild>
    </w:div>
    <w:div w:id="1148208117">
      <w:bodyDiv w:val="1"/>
      <w:marLeft w:val="0"/>
      <w:marRight w:val="0"/>
      <w:marTop w:val="0"/>
      <w:marBottom w:val="0"/>
      <w:divBdr>
        <w:top w:val="none" w:sz="0" w:space="0" w:color="auto"/>
        <w:left w:val="none" w:sz="0" w:space="0" w:color="auto"/>
        <w:bottom w:val="none" w:sz="0" w:space="0" w:color="auto"/>
        <w:right w:val="none" w:sz="0" w:space="0" w:color="auto"/>
      </w:divBdr>
    </w:div>
    <w:div w:id="1223760601">
      <w:bodyDiv w:val="1"/>
      <w:marLeft w:val="0"/>
      <w:marRight w:val="0"/>
      <w:marTop w:val="0"/>
      <w:marBottom w:val="0"/>
      <w:divBdr>
        <w:top w:val="none" w:sz="0" w:space="0" w:color="auto"/>
        <w:left w:val="none" w:sz="0" w:space="0" w:color="auto"/>
        <w:bottom w:val="none" w:sz="0" w:space="0" w:color="auto"/>
        <w:right w:val="none" w:sz="0" w:space="0" w:color="auto"/>
      </w:divBdr>
    </w:div>
    <w:div w:id="1243685161">
      <w:bodyDiv w:val="1"/>
      <w:marLeft w:val="0"/>
      <w:marRight w:val="0"/>
      <w:marTop w:val="0"/>
      <w:marBottom w:val="0"/>
      <w:divBdr>
        <w:top w:val="none" w:sz="0" w:space="0" w:color="auto"/>
        <w:left w:val="none" w:sz="0" w:space="0" w:color="auto"/>
        <w:bottom w:val="none" w:sz="0" w:space="0" w:color="auto"/>
        <w:right w:val="none" w:sz="0" w:space="0" w:color="auto"/>
      </w:divBdr>
    </w:div>
    <w:div w:id="1261530079">
      <w:bodyDiv w:val="1"/>
      <w:marLeft w:val="0"/>
      <w:marRight w:val="0"/>
      <w:marTop w:val="0"/>
      <w:marBottom w:val="0"/>
      <w:divBdr>
        <w:top w:val="none" w:sz="0" w:space="0" w:color="auto"/>
        <w:left w:val="none" w:sz="0" w:space="0" w:color="auto"/>
        <w:bottom w:val="none" w:sz="0" w:space="0" w:color="auto"/>
        <w:right w:val="none" w:sz="0" w:space="0" w:color="auto"/>
      </w:divBdr>
    </w:div>
    <w:div w:id="1266379507">
      <w:bodyDiv w:val="1"/>
      <w:marLeft w:val="0"/>
      <w:marRight w:val="0"/>
      <w:marTop w:val="0"/>
      <w:marBottom w:val="0"/>
      <w:divBdr>
        <w:top w:val="none" w:sz="0" w:space="0" w:color="auto"/>
        <w:left w:val="none" w:sz="0" w:space="0" w:color="auto"/>
        <w:bottom w:val="none" w:sz="0" w:space="0" w:color="auto"/>
        <w:right w:val="none" w:sz="0" w:space="0" w:color="auto"/>
      </w:divBdr>
      <w:divsChild>
        <w:div w:id="694968025">
          <w:marLeft w:val="0"/>
          <w:marRight w:val="0"/>
          <w:marTop w:val="0"/>
          <w:marBottom w:val="0"/>
          <w:divBdr>
            <w:top w:val="none" w:sz="0" w:space="0" w:color="auto"/>
            <w:left w:val="none" w:sz="0" w:space="0" w:color="auto"/>
            <w:bottom w:val="none" w:sz="0" w:space="0" w:color="auto"/>
            <w:right w:val="none" w:sz="0" w:space="0" w:color="auto"/>
          </w:divBdr>
          <w:divsChild>
            <w:div w:id="703018119">
              <w:marLeft w:val="0"/>
              <w:marRight w:val="0"/>
              <w:marTop w:val="0"/>
              <w:marBottom w:val="0"/>
              <w:divBdr>
                <w:top w:val="none" w:sz="0" w:space="0" w:color="auto"/>
                <w:left w:val="none" w:sz="0" w:space="0" w:color="auto"/>
                <w:bottom w:val="none" w:sz="0" w:space="0" w:color="auto"/>
                <w:right w:val="none" w:sz="0" w:space="0" w:color="auto"/>
              </w:divBdr>
              <w:divsChild>
                <w:div w:id="383414277">
                  <w:marLeft w:val="0"/>
                  <w:marRight w:val="0"/>
                  <w:marTop w:val="0"/>
                  <w:marBottom w:val="0"/>
                  <w:divBdr>
                    <w:top w:val="none" w:sz="0" w:space="0" w:color="auto"/>
                    <w:left w:val="none" w:sz="0" w:space="0" w:color="auto"/>
                    <w:bottom w:val="none" w:sz="0" w:space="0" w:color="auto"/>
                    <w:right w:val="none" w:sz="0" w:space="0" w:color="auto"/>
                  </w:divBdr>
                  <w:divsChild>
                    <w:div w:id="951399148">
                      <w:marLeft w:val="0"/>
                      <w:marRight w:val="0"/>
                      <w:marTop w:val="0"/>
                      <w:marBottom w:val="0"/>
                      <w:divBdr>
                        <w:top w:val="none" w:sz="0" w:space="0" w:color="auto"/>
                        <w:left w:val="none" w:sz="0" w:space="0" w:color="auto"/>
                        <w:bottom w:val="none" w:sz="0" w:space="0" w:color="auto"/>
                        <w:right w:val="none" w:sz="0" w:space="0" w:color="auto"/>
                      </w:divBdr>
                      <w:divsChild>
                        <w:div w:id="747456515">
                          <w:marLeft w:val="0"/>
                          <w:marRight w:val="0"/>
                          <w:marTop w:val="0"/>
                          <w:marBottom w:val="0"/>
                          <w:divBdr>
                            <w:top w:val="none" w:sz="0" w:space="0" w:color="auto"/>
                            <w:left w:val="none" w:sz="0" w:space="0" w:color="auto"/>
                            <w:bottom w:val="none" w:sz="0" w:space="0" w:color="auto"/>
                            <w:right w:val="none" w:sz="0" w:space="0" w:color="auto"/>
                          </w:divBdr>
                          <w:divsChild>
                            <w:div w:id="796995919">
                              <w:marLeft w:val="0"/>
                              <w:marRight w:val="0"/>
                              <w:marTop w:val="0"/>
                              <w:marBottom w:val="0"/>
                              <w:divBdr>
                                <w:top w:val="none" w:sz="0" w:space="0" w:color="auto"/>
                                <w:left w:val="none" w:sz="0" w:space="0" w:color="auto"/>
                                <w:bottom w:val="none" w:sz="0" w:space="0" w:color="auto"/>
                                <w:right w:val="none" w:sz="0" w:space="0" w:color="auto"/>
                              </w:divBdr>
                              <w:divsChild>
                                <w:div w:id="1939365369">
                                  <w:marLeft w:val="0"/>
                                  <w:marRight w:val="0"/>
                                  <w:marTop w:val="0"/>
                                  <w:marBottom w:val="0"/>
                                  <w:divBdr>
                                    <w:top w:val="none" w:sz="0" w:space="0" w:color="auto"/>
                                    <w:left w:val="none" w:sz="0" w:space="0" w:color="auto"/>
                                    <w:bottom w:val="none" w:sz="0" w:space="0" w:color="auto"/>
                                    <w:right w:val="none" w:sz="0" w:space="0" w:color="auto"/>
                                  </w:divBdr>
                                  <w:divsChild>
                                    <w:div w:id="1495758976">
                                      <w:marLeft w:val="0"/>
                                      <w:marRight w:val="0"/>
                                      <w:marTop w:val="0"/>
                                      <w:marBottom w:val="0"/>
                                      <w:divBdr>
                                        <w:top w:val="none" w:sz="0" w:space="0" w:color="auto"/>
                                        <w:left w:val="none" w:sz="0" w:space="0" w:color="auto"/>
                                        <w:bottom w:val="none" w:sz="0" w:space="0" w:color="auto"/>
                                        <w:right w:val="none" w:sz="0" w:space="0" w:color="auto"/>
                                      </w:divBdr>
                                      <w:divsChild>
                                        <w:div w:id="164708916">
                                          <w:marLeft w:val="0"/>
                                          <w:marRight w:val="0"/>
                                          <w:marTop w:val="0"/>
                                          <w:marBottom w:val="0"/>
                                          <w:divBdr>
                                            <w:top w:val="none" w:sz="0" w:space="0" w:color="auto"/>
                                            <w:left w:val="none" w:sz="0" w:space="0" w:color="auto"/>
                                            <w:bottom w:val="none" w:sz="0" w:space="0" w:color="auto"/>
                                            <w:right w:val="none" w:sz="0" w:space="0" w:color="auto"/>
                                          </w:divBdr>
                                          <w:divsChild>
                                            <w:div w:id="210240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2961040">
      <w:bodyDiv w:val="1"/>
      <w:marLeft w:val="0"/>
      <w:marRight w:val="0"/>
      <w:marTop w:val="0"/>
      <w:marBottom w:val="0"/>
      <w:divBdr>
        <w:top w:val="none" w:sz="0" w:space="0" w:color="auto"/>
        <w:left w:val="none" w:sz="0" w:space="0" w:color="auto"/>
        <w:bottom w:val="none" w:sz="0" w:space="0" w:color="auto"/>
        <w:right w:val="none" w:sz="0" w:space="0" w:color="auto"/>
      </w:divBdr>
      <w:divsChild>
        <w:div w:id="1325938087">
          <w:marLeft w:val="0"/>
          <w:marRight w:val="0"/>
          <w:marTop w:val="0"/>
          <w:marBottom w:val="0"/>
          <w:divBdr>
            <w:top w:val="none" w:sz="0" w:space="0" w:color="auto"/>
            <w:left w:val="none" w:sz="0" w:space="0" w:color="auto"/>
            <w:bottom w:val="none" w:sz="0" w:space="0" w:color="auto"/>
            <w:right w:val="none" w:sz="0" w:space="0" w:color="auto"/>
          </w:divBdr>
          <w:divsChild>
            <w:div w:id="452476861">
              <w:marLeft w:val="0"/>
              <w:marRight w:val="0"/>
              <w:marTop w:val="0"/>
              <w:marBottom w:val="0"/>
              <w:divBdr>
                <w:top w:val="none" w:sz="0" w:space="0" w:color="auto"/>
                <w:left w:val="none" w:sz="0" w:space="0" w:color="auto"/>
                <w:bottom w:val="none" w:sz="0" w:space="0" w:color="auto"/>
                <w:right w:val="none" w:sz="0" w:space="0" w:color="auto"/>
              </w:divBdr>
              <w:divsChild>
                <w:div w:id="1370645265">
                  <w:marLeft w:val="0"/>
                  <w:marRight w:val="0"/>
                  <w:marTop w:val="0"/>
                  <w:marBottom w:val="0"/>
                  <w:divBdr>
                    <w:top w:val="none" w:sz="0" w:space="0" w:color="auto"/>
                    <w:left w:val="none" w:sz="0" w:space="0" w:color="auto"/>
                    <w:bottom w:val="none" w:sz="0" w:space="0" w:color="auto"/>
                    <w:right w:val="none" w:sz="0" w:space="0" w:color="auto"/>
                  </w:divBdr>
                  <w:divsChild>
                    <w:div w:id="978803867">
                      <w:marLeft w:val="0"/>
                      <w:marRight w:val="0"/>
                      <w:marTop w:val="0"/>
                      <w:marBottom w:val="0"/>
                      <w:divBdr>
                        <w:top w:val="none" w:sz="0" w:space="0" w:color="auto"/>
                        <w:left w:val="none" w:sz="0" w:space="0" w:color="auto"/>
                        <w:bottom w:val="none" w:sz="0" w:space="0" w:color="auto"/>
                        <w:right w:val="none" w:sz="0" w:space="0" w:color="auto"/>
                      </w:divBdr>
                      <w:divsChild>
                        <w:div w:id="345644334">
                          <w:marLeft w:val="0"/>
                          <w:marRight w:val="0"/>
                          <w:marTop w:val="0"/>
                          <w:marBottom w:val="0"/>
                          <w:divBdr>
                            <w:top w:val="none" w:sz="0" w:space="0" w:color="auto"/>
                            <w:left w:val="none" w:sz="0" w:space="0" w:color="auto"/>
                            <w:bottom w:val="none" w:sz="0" w:space="0" w:color="auto"/>
                            <w:right w:val="none" w:sz="0" w:space="0" w:color="auto"/>
                          </w:divBdr>
                        </w:div>
                        <w:div w:id="371274770">
                          <w:marLeft w:val="0"/>
                          <w:marRight w:val="0"/>
                          <w:marTop w:val="0"/>
                          <w:marBottom w:val="0"/>
                          <w:divBdr>
                            <w:top w:val="none" w:sz="0" w:space="0" w:color="auto"/>
                            <w:left w:val="none" w:sz="0" w:space="0" w:color="auto"/>
                            <w:bottom w:val="none" w:sz="0" w:space="0" w:color="auto"/>
                            <w:right w:val="none" w:sz="0" w:space="0" w:color="auto"/>
                          </w:divBdr>
                          <w:divsChild>
                            <w:div w:id="1634940125">
                              <w:marLeft w:val="0"/>
                              <w:marRight w:val="0"/>
                              <w:marTop w:val="0"/>
                              <w:marBottom w:val="0"/>
                              <w:divBdr>
                                <w:top w:val="none" w:sz="0" w:space="0" w:color="auto"/>
                                <w:left w:val="none" w:sz="0" w:space="0" w:color="auto"/>
                                <w:bottom w:val="none" w:sz="0" w:space="0" w:color="auto"/>
                                <w:right w:val="none" w:sz="0" w:space="0" w:color="auto"/>
                              </w:divBdr>
                              <w:divsChild>
                                <w:div w:id="1342706735">
                                  <w:marLeft w:val="0"/>
                                  <w:marRight w:val="0"/>
                                  <w:marTop w:val="0"/>
                                  <w:marBottom w:val="0"/>
                                  <w:divBdr>
                                    <w:top w:val="none" w:sz="0" w:space="0" w:color="auto"/>
                                    <w:left w:val="none" w:sz="0" w:space="0" w:color="auto"/>
                                    <w:bottom w:val="none" w:sz="0" w:space="0" w:color="auto"/>
                                    <w:right w:val="none" w:sz="0" w:space="0" w:color="auto"/>
                                  </w:divBdr>
                                  <w:divsChild>
                                    <w:div w:id="2111587575">
                                      <w:marLeft w:val="0"/>
                                      <w:marRight w:val="0"/>
                                      <w:marTop w:val="0"/>
                                      <w:marBottom w:val="0"/>
                                      <w:divBdr>
                                        <w:top w:val="none" w:sz="0" w:space="0" w:color="auto"/>
                                        <w:left w:val="none" w:sz="0" w:space="0" w:color="auto"/>
                                        <w:bottom w:val="none" w:sz="0" w:space="0" w:color="auto"/>
                                        <w:right w:val="none" w:sz="0" w:space="0" w:color="auto"/>
                                      </w:divBdr>
                                      <w:divsChild>
                                        <w:div w:id="2124490981">
                                          <w:marLeft w:val="0"/>
                                          <w:marRight w:val="0"/>
                                          <w:marTop w:val="0"/>
                                          <w:marBottom w:val="0"/>
                                          <w:divBdr>
                                            <w:top w:val="none" w:sz="0" w:space="0" w:color="auto"/>
                                            <w:left w:val="none" w:sz="0" w:space="0" w:color="auto"/>
                                            <w:bottom w:val="none" w:sz="0" w:space="0" w:color="auto"/>
                                            <w:right w:val="none" w:sz="0" w:space="0" w:color="auto"/>
                                          </w:divBdr>
                                          <w:divsChild>
                                            <w:div w:id="111209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0152719">
      <w:bodyDiv w:val="1"/>
      <w:marLeft w:val="0"/>
      <w:marRight w:val="0"/>
      <w:marTop w:val="0"/>
      <w:marBottom w:val="0"/>
      <w:divBdr>
        <w:top w:val="none" w:sz="0" w:space="0" w:color="auto"/>
        <w:left w:val="none" w:sz="0" w:space="0" w:color="auto"/>
        <w:bottom w:val="none" w:sz="0" w:space="0" w:color="auto"/>
        <w:right w:val="none" w:sz="0" w:space="0" w:color="auto"/>
      </w:divBdr>
    </w:div>
    <w:div w:id="1458377579">
      <w:bodyDiv w:val="1"/>
      <w:marLeft w:val="0"/>
      <w:marRight w:val="0"/>
      <w:marTop w:val="0"/>
      <w:marBottom w:val="0"/>
      <w:divBdr>
        <w:top w:val="none" w:sz="0" w:space="0" w:color="auto"/>
        <w:left w:val="none" w:sz="0" w:space="0" w:color="auto"/>
        <w:bottom w:val="none" w:sz="0" w:space="0" w:color="auto"/>
        <w:right w:val="none" w:sz="0" w:space="0" w:color="auto"/>
      </w:divBdr>
      <w:divsChild>
        <w:div w:id="219293591">
          <w:marLeft w:val="547"/>
          <w:marRight w:val="0"/>
          <w:marTop w:val="115"/>
          <w:marBottom w:val="0"/>
          <w:divBdr>
            <w:top w:val="none" w:sz="0" w:space="0" w:color="auto"/>
            <w:left w:val="none" w:sz="0" w:space="0" w:color="auto"/>
            <w:bottom w:val="none" w:sz="0" w:space="0" w:color="auto"/>
            <w:right w:val="none" w:sz="0" w:space="0" w:color="auto"/>
          </w:divBdr>
        </w:div>
        <w:div w:id="633877873">
          <w:marLeft w:val="547"/>
          <w:marRight w:val="0"/>
          <w:marTop w:val="115"/>
          <w:marBottom w:val="0"/>
          <w:divBdr>
            <w:top w:val="none" w:sz="0" w:space="0" w:color="auto"/>
            <w:left w:val="none" w:sz="0" w:space="0" w:color="auto"/>
            <w:bottom w:val="none" w:sz="0" w:space="0" w:color="auto"/>
            <w:right w:val="none" w:sz="0" w:space="0" w:color="auto"/>
          </w:divBdr>
        </w:div>
        <w:div w:id="1150634511">
          <w:marLeft w:val="547"/>
          <w:marRight w:val="0"/>
          <w:marTop w:val="115"/>
          <w:marBottom w:val="0"/>
          <w:divBdr>
            <w:top w:val="none" w:sz="0" w:space="0" w:color="auto"/>
            <w:left w:val="none" w:sz="0" w:space="0" w:color="auto"/>
            <w:bottom w:val="none" w:sz="0" w:space="0" w:color="auto"/>
            <w:right w:val="none" w:sz="0" w:space="0" w:color="auto"/>
          </w:divBdr>
        </w:div>
        <w:div w:id="1207982992">
          <w:marLeft w:val="547"/>
          <w:marRight w:val="0"/>
          <w:marTop w:val="115"/>
          <w:marBottom w:val="0"/>
          <w:divBdr>
            <w:top w:val="none" w:sz="0" w:space="0" w:color="auto"/>
            <w:left w:val="none" w:sz="0" w:space="0" w:color="auto"/>
            <w:bottom w:val="none" w:sz="0" w:space="0" w:color="auto"/>
            <w:right w:val="none" w:sz="0" w:space="0" w:color="auto"/>
          </w:divBdr>
        </w:div>
        <w:div w:id="1429889008">
          <w:marLeft w:val="547"/>
          <w:marRight w:val="0"/>
          <w:marTop w:val="115"/>
          <w:marBottom w:val="0"/>
          <w:divBdr>
            <w:top w:val="none" w:sz="0" w:space="0" w:color="auto"/>
            <w:left w:val="none" w:sz="0" w:space="0" w:color="auto"/>
            <w:bottom w:val="none" w:sz="0" w:space="0" w:color="auto"/>
            <w:right w:val="none" w:sz="0" w:space="0" w:color="auto"/>
          </w:divBdr>
        </w:div>
        <w:div w:id="1483767796">
          <w:marLeft w:val="547"/>
          <w:marRight w:val="0"/>
          <w:marTop w:val="115"/>
          <w:marBottom w:val="0"/>
          <w:divBdr>
            <w:top w:val="none" w:sz="0" w:space="0" w:color="auto"/>
            <w:left w:val="none" w:sz="0" w:space="0" w:color="auto"/>
            <w:bottom w:val="none" w:sz="0" w:space="0" w:color="auto"/>
            <w:right w:val="none" w:sz="0" w:space="0" w:color="auto"/>
          </w:divBdr>
        </w:div>
        <w:div w:id="1802652110">
          <w:marLeft w:val="547"/>
          <w:marRight w:val="0"/>
          <w:marTop w:val="115"/>
          <w:marBottom w:val="0"/>
          <w:divBdr>
            <w:top w:val="none" w:sz="0" w:space="0" w:color="auto"/>
            <w:left w:val="none" w:sz="0" w:space="0" w:color="auto"/>
            <w:bottom w:val="none" w:sz="0" w:space="0" w:color="auto"/>
            <w:right w:val="none" w:sz="0" w:space="0" w:color="auto"/>
          </w:divBdr>
        </w:div>
        <w:div w:id="2031445569">
          <w:marLeft w:val="547"/>
          <w:marRight w:val="0"/>
          <w:marTop w:val="115"/>
          <w:marBottom w:val="0"/>
          <w:divBdr>
            <w:top w:val="none" w:sz="0" w:space="0" w:color="auto"/>
            <w:left w:val="none" w:sz="0" w:space="0" w:color="auto"/>
            <w:bottom w:val="none" w:sz="0" w:space="0" w:color="auto"/>
            <w:right w:val="none" w:sz="0" w:space="0" w:color="auto"/>
          </w:divBdr>
        </w:div>
      </w:divsChild>
    </w:div>
    <w:div w:id="1511023387">
      <w:bodyDiv w:val="1"/>
      <w:marLeft w:val="0"/>
      <w:marRight w:val="0"/>
      <w:marTop w:val="0"/>
      <w:marBottom w:val="0"/>
      <w:divBdr>
        <w:top w:val="none" w:sz="0" w:space="0" w:color="auto"/>
        <w:left w:val="none" w:sz="0" w:space="0" w:color="auto"/>
        <w:bottom w:val="none" w:sz="0" w:space="0" w:color="auto"/>
        <w:right w:val="none" w:sz="0" w:space="0" w:color="auto"/>
      </w:divBdr>
    </w:div>
    <w:div w:id="1562329853">
      <w:bodyDiv w:val="1"/>
      <w:marLeft w:val="0"/>
      <w:marRight w:val="0"/>
      <w:marTop w:val="0"/>
      <w:marBottom w:val="0"/>
      <w:divBdr>
        <w:top w:val="none" w:sz="0" w:space="0" w:color="auto"/>
        <w:left w:val="none" w:sz="0" w:space="0" w:color="auto"/>
        <w:bottom w:val="none" w:sz="0" w:space="0" w:color="auto"/>
        <w:right w:val="none" w:sz="0" w:space="0" w:color="auto"/>
      </w:divBdr>
      <w:divsChild>
        <w:div w:id="750540164">
          <w:marLeft w:val="1627"/>
          <w:marRight w:val="0"/>
          <w:marTop w:val="100"/>
          <w:marBottom w:val="0"/>
          <w:divBdr>
            <w:top w:val="none" w:sz="0" w:space="0" w:color="auto"/>
            <w:left w:val="none" w:sz="0" w:space="0" w:color="auto"/>
            <w:bottom w:val="none" w:sz="0" w:space="0" w:color="auto"/>
            <w:right w:val="none" w:sz="0" w:space="0" w:color="auto"/>
          </w:divBdr>
        </w:div>
        <w:div w:id="868492839">
          <w:marLeft w:val="2347"/>
          <w:marRight w:val="0"/>
          <w:marTop w:val="100"/>
          <w:marBottom w:val="0"/>
          <w:divBdr>
            <w:top w:val="none" w:sz="0" w:space="0" w:color="auto"/>
            <w:left w:val="none" w:sz="0" w:space="0" w:color="auto"/>
            <w:bottom w:val="none" w:sz="0" w:space="0" w:color="auto"/>
            <w:right w:val="none" w:sz="0" w:space="0" w:color="auto"/>
          </w:divBdr>
        </w:div>
        <w:div w:id="1610309527">
          <w:marLeft w:val="1627"/>
          <w:marRight w:val="0"/>
          <w:marTop w:val="100"/>
          <w:marBottom w:val="0"/>
          <w:divBdr>
            <w:top w:val="none" w:sz="0" w:space="0" w:color="auto"/>
            <w:left w:val="none" w:sz="0" w:space="0" w:color="auto"/>
            <w:bottom w:val="none" w:sz="0" w:space="0" w:color="auto"/>
            <w:right w:val="none" w:sz="0" w:space="0" w:color="auto"/>
          </w:divBdr>
        </w:div>
        <w:div w:id="1849249768">
          <w:marLeft w:val="547"/>
          <w:marRight w:val="0"/>
          <w:marTop w:val="200"/>
          <w:marBottom w:val="0"/>
          <w:divBdr>
            <w:top w:val="none" w:sz="0" w:space="0" w:color="auto"/>
            <w:left w:val="none" w:sz="0" w:space="0" w:color="auto"/>
            <w:bottom w:val="none" w:sz="0" w:space="0" w:color="auto"/>
            <w:right w:val="none" w:sz="0" w:space="0" w:color="auto"/>
          </w:divBdr>
        </w:div>
        <w:div w:id="2046056741">
          <w:marLeft w:val="1627"/>
          <w:marRight w:val="0"/>
          <w:marTop w:val="100"/>
          <w:marBottom w:val="0"/>
          <w:divBdr>
            <w:top w:val="none" w:sz="0" w:space="0" w:color="auto"/>
            <w:left w:val="none" w:sz="0" w:space="0" w:color="auto"/>
            <w:bottom w:val="none" w:sz="0" w:space="0" w:color="auto"/>
            <w:right w:val="none" w:sz="0" w:space="0" w:color="auto"/>
          </w:divBdr>
        </w:div>
      </w:divsChild>
    </w:div>
    <w:div w:id="1568613848">
      <w:bodyDiv w:val="1"/>
      <w:marLeft w:val="0"/>
      <w:marRight w:val="0"/>
      <w:marTop w:val="0"/>
      <w:marBottom w:val="0"/>
      <w:divBdr>
        <w:top w:val="none" w:sz="0" w:space="0" w:color="auto"/>
        <w:left w:val="none" w:sz="0" w:space="0" w:color="auto"/>
        <w:bottom w:val="none" w:sz="0" w:space="0" w:color="auto"/>
        <w:right w:val="none" w:sz="0" w:space="0" w:color="auto"/>
      </w:divBdr>
    </w:div>
    <w:div w:id="1604649242">
      <w:bodyDiv w:val="1"/>
      <w:marLeft w:val="0"/>
      <w:marRight w:val="0"/>
      <w:marTop w:val="0"/>
      <w:marBottom w:val="0"/>
      <w:divBdr>
        <w:top w:val="none" w:sz="0" w:space="0" w:color="auto"/>
        <w:left w:val="none" w:sz="0" w:space="0" w:color="auto"/>
        <w:bottom w:val="none" w:sz="0" w:space="0" w:color="auto"/>
        <w:right w:val="none" w:sz="0" w:space="0" w:color="auto"/>
      </w:divBdr>
    </w:div>
    <w:div w:id="1611818330">
      <w:bodyDiv w:val="1"/>
      <w:marLeft w:val="0"/>
      <w:marRight w:val="0"/>
      <w:marTop w:val="0"/>
      <w:marBottom w:val="0"/>
      <w:divBdr>
        <w:top w:val="none" w:sz="0" w:space="0" w:color="auto"/>
        <w:left w:val="none" w:sz="0" w:space="0" w:color="auto"/>
        <w:bottom w:val="none" w:sz="0" w:space="0" w:color="auto"/>
        <w:right w:val="none" w:sz="0" w:space="0" w:color="auto"/>
      </w:divBdr>
    </w:div>
    <w:div w:id="1623225124">
      <w:bodyDiv w:val="1"/>
      <w:marLeft w:val="0"/>
      <w:marRight w:val="0"/>
      <w:marTop w:val="0"/>
      <w:marBottom w:val="0"/>
      <w:divBdr>
        <w:top w:val="none" w:sz="0" w:space="0" w:color="auto"/>
        <w:left w:val="none" w:sz="0" w:space="0" w:color="auto"/>
        <w:bottom w:val="none" w:sz="0" w:space="0" w:color="auto"/>
        <w:right w:val="none" w:sz="0" w:space="0" w:color="auto"/>
      </w:divBdr>
    </w:div>
    <w:div w:id="1668753489">
      <w:bodyDiv w:val="1"/>
      <w:marLeft w:val="0"/>
      <w:marRight w:val="0"/>
      <w:marTop w:val="0"/>
      <w:marBottom w:val="0"/>
      <w:divBdr>
        <w:top w:val="none" w:sz="0" w:space="0" w:color="auto"/>
        <w:left w:val="none" w:sz="0" w:space="0" w:color="auto"/>
        <w:bottom w:val="none" w:sz="0" w:space="0" w:color="auto"/>
        <w:right w:val="none" w:sz="0" w:space="0" w:color="auto"/>
      </w:divBdr>
    </w:div>
    <w:div w:id="1699623503">
      <w:bodyDiv w:val="1"/>
      <w:marLeft w:val="0"/>
      <w:marRight w:val="0"/>
      <w:marTop w:val="0"/>
      <w:marBottom w:val="0"/>
      <w:divBdr>
        <w:top w:val="none" w:sz="0" w:space="0" w:color="auto"/>
        <w:left w:val="none" w:sz="0" w:space="0" w:color="auto"/>
        <w:bottom w:val="none" w:sz="0" w:space="0" w:color="auto"/>
        <w:right w:val="none" w:sz="0" w:space="0" w:color="auto"/>
      </w:divBdr>
    </w:div>
    <w:div w:id="1748654184">
      <w:bodyDiv w:val="1"/>
      <w:marLeft w:val="0"/>
      <w:marRight w:val="0"/>
      <w:marTop w:val="0"/>
      <w:marBottom w:val="0"/>
      <w:divBdr>
        <w:top w:val="none" w:sz="0" w:space="0" w:color="auto"/>
        <w:left w:val="none" w:sz="0" w:space="0" w:color="auto"/>
        <w:bottom w:val="none" w:sz="0" w:space="0" w:color="auto"/>
        <w:right w:val="none" w:sz="0" w:space="0" w:color="auto"/>
      </w:divBdr>
    </w:div>
    <w:div w:id="1793397061">
      <w:bodyDiv w:val="1"/>
      <w:marLeft w:val="0"/>
      <w:marRight w:val="0"/>
      <w:marTop w:val="0"/>
      <w:marBottom w:val="0"/>
      <w:divBdr>
        <w:top w:val="none" w:sz="0" w:space="0" w:color="auto"/>
        <w:left w:val="none" w:sz="0" w:space="0" w:color="auto"/>
        <w:bottom w:val="none" w:sz="0" w:space="0" w:color="auto"/>
        <w:right w:val="none" w:sz="0" w:space="0" w:color="auto"/>
      </w:divBdr>
    </w:div>
    <w:div w:id="1812289388">
      <w:bodyDiv w:val="1"/>
      <w:marLeft w:val="0"/>
      <w:marRight w:val="0"/>
      <w:marTop w:val="0"/>
      <w:marBottom w:val="0"/>
      <w:divBdr>
        <w:top w:val="none" w:sz="0" w:space="0" w:color="auto"/>
        <w:left w:val="none" w:sz="0" w:space="0" w:color="auto"/>
        <w:bottom w:val="none" w:sz="0" w:space="0" w:color="auto"/>
        <w:right w:val="none" w:sz="0" w:space="0" w:color="auto"/>
      </w:divBdr>
    </w:div>
    <w:div w:id="1815365254">
      <w:bodyDiv w:val="1"/>
      <w:marLeft w:val="0"/>
      <w:marRight w:val="0"/>
      <w:marTop w:val="0"/>
      <w:marBottom w:val="0"/>
      <w:divBdr>
        <w:top w:val="none" w:sz="0" w:space="0" w:color="auto"/>
        <w:left w:val="none" w:sz="0" w:space="0" w:color="auto"/>
        <w:bottom w:val="none" w:sz="0" w:space="0" w:color="auto"/>
        <w:right w:val="none" w:sz="0" w:space="0" w:color="auto"/>
      </w:divBdr>
      <w:divsChild>
        <w:div w:id="2070956453">
          <w:marLeft w:val="0"/>
          <w:marRight w:val="0"/>
          <w:marTop w:val="0"/>
          <w:marBottom w:val="0"/>
          <w:divBdr>
            <w:top w:val="none" w:sz="0" w:space="0" w:color="auto"/>
            <w:left w:val="none" w:sz="0" w:space="0" w:color="auto"/>
            <w:bottom w:val="none" w:sz="0" w:space="0" w:color="auto"/>
            <w:right w:val="none" w:sz="0" w:space="0" w:color="auto"/>
          </w:divBdr>
          <w:divsChild>
            <w:div w:id="580332900">
              <w:marLeft w:val="0"/>
              <w:marRight w:val="0"/>
              <w:marTop w:val="0"/>
              <w:marBottom w:val="0"/>
              <w:divBdr>
                <w:top w:val="none" w:sz="0" w:space="0" w:color="auto"/>
                <w:left w:val="none" w:sz="0" w:space="0" w:color="auto"/>
                <w:bottom w:val="none" w:sz="0" w:space="0" w:color="auto"/>
                <w:right w:val="none" w:sz="0" w:space="0" w:color="auto"/>
              </w:divBdr>
              <w:divsChild>
                <w:div w:id="1646088479">
                  <w:marLeft w:val="0"/>
                  <w:marRight w:val="0"/>
                  <w:marTop w:val="0"/>
                  <w:marBottom w:val="0"/>
                  <w:divBdr>
                    <w:top w:val="none" w:sz="0" w:space="0" w:color="auto"/>
                    <w:left w:val="none" w:sz="0" w:space="0" w:color="auto"/>
                    <w:bottom w:val="none" w:sz="0" w:space="0" w:color="auto"/>
                    <w:right w:val="none" w:sz="0" w:space="0" w:color="auto"/>
                  </w:divBdr>
                  <w:divsChild>
                    <w:div w:id="466239805">
                      <w:marLeft w:val="0"/>
                      <w:marRight w:val="0"/>
                      <w:marTop w:val="0"/>
                      <w:marBottom w:val="0"/>
                      <w:divBdr>
                        <w:top w:val="none" w:sz="0" w:space="0" w:color="auto"/>
                        <w:left w:val="none" w:sz="0" w:space="0" w:color="auto"/>
                        <w:bottom w:val="none" w:sz="0" w:space="0" w:color="auto"/>
                        <w:right w:val="none" w:sz="0" w:space="0" w:color="auto"/>
                      </w:divBdr>
                      <w:divsChild>
                        <w:div w:id="1554270577">
                          <w:marLeft w:val="0"/>
                          <w:marRight w:val="0"/>
                          <w:marTop w:val="0"/>
                          <w:marBottom w:val="0"/>
                          <w:divBdr>
                            <w:top w:val="none" w:sz="0" w:space="0" w:color="auto"/>
                            <w:left w:val="none" w:sz="0" w:space="0" w:color="auto"/>
                            <w:bottom w:val="none" w:sz="0" w:space="0" w:color="auto"/>
                            <w:right w:val="none" w:sz="0" w:space="0" w:color="auto"/>
                          </w:divBdr>
                          <w:divsChild>
                            <w:div w:id="1515074673">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8594679">
      <w:bodyDiv w:val="1"/>
      <w:marLeft w:val="0"/>
      <w:marRight w:val="0"/>
      <w:marTop w:val="0"/>
      <w:marBottom w:val="0"/>
      <w:divBdr>
        <w:top w:val="none" w:sz="0" w:space="0" w:color="auto"/>
        <w:left w:val="none" w:sz="0" w:space="0" w:color="auto"/>
        <w:bottom w:val="none" w:sz="0" w:space="0" w:color="auto"/>
        <w:right w:val="none" w:sz="0" w:space="0" w:color="auto"/>
      </w:divBdr>
    </w:div>
    <w:div w:id="1855533948">
      <w:bodyDiv w:val="1"/>
      <w:marLeft w:val="0"/>
      <w:marRight w:val="0"/>
      <w:marTop w:val="0"/>
      <w:marBottom w:val="0"/>
      <w:divBdr>
        <w:top w:val="none" w:sz="0" w:space="0" w:color="auto"/>
        <w:left w:val="none" w:sz="0" w:space="0" w:color="auto"/>
        <w:bottom w:val="none" w:sz="0" w:space="0" w:color="auto"/>
        <w:right w:val="none" w:sz="0" w:space="0" w:color="auto"/>
      </w:divBdr>
    </w:div>
    <w:div w:id="1905721401">
      <w:bodyDiv w:val="1"/>
      <w:marLeft w:val="0"/>
      <w:marRight w:val="0"/>
      <w:marTop w:val="0"/>
      <w:marBottom w:val="0"/>
      <w:divBdr>
        <w:top w:val="none" w:sz="0" w:space="0" w:color="auto"/>
        <w:left w:val="none" w:sz="0" w:space="0" w:color="auto"/>
        <w:bottom w:val="none" w:sz="0" w:space="0" w:color="auto"/>
        <w:right w:val="none" w:sz="0" w:space="0" w:color="auto"/>
      </w:divBdr>
    </w:div>
    <w:div w:id="1913275189">
      <w:bodyDiv w:val="1"/>
      <w:marLeft w:val="0"/>
      <w:marRight w:val="0"/>
      <w:marTop w:val="0"/>
      <w:marBottom w:val="0"/>
      <w:divBdr>
        <w:top w:val="none" w:sz="0" w:space="0" w:color="auto"/>
        <w:left w:val="none" w:sz="0" w:space="0" w:color="auto"/>
        <w:bottom w:val="none" w:sz="0" w:space="0" w:color="auto"/>
        <w:right w:val="none" w:sz="0" w:space="0" w:color="auto"/>
      </w:divBdr>
    </w:div>
    <w:div w:id="1939097359">
      <w:bodyDiv w:val="1"/>
      <w:marLeft w:val="0"/>
      <w:marRight w:val="0"/>
      <w:marTop w:val="0"/>
      <w:marBottom w:val="0"/>
      <w:divBdr>
        <w:top w:val="none" w:sz="0" w:space="0" w:color="auto"/>
        <w:left w:val="none" w:sz="0" w:space="0" w:color="auto"/>
        <w:bottom w:val="none" w:sz="0" w:space="0" w:color="auto"/>
        <w:right w:val="none" w:sz="0" w:space="0" w:color="auto"/>
      </w:divBdr>
    </w:div>
    <w:div w:id="1943103238">
      <w:bodyDiv w:val="1"/>
      <w:marLeft w:val="0"/>
      <w:marRight w:val="0"/>
      <w:marTop w:val="0"/>
      <w:marBottom w:val="0"/>
      <w:divBdr>
        <w:top w:val="none" w:sz="0" w:space="0" w:color="auto"/>
        <w:left w:val="none" w:sz="0" w:space="0" w:color="auto"/>
        <w:bottom w:val="none" w:sz="0" w:space="0" w:color="auto"/>
        <w:right w:val="none" w:sz="0" w:space="0" w:color="auto"/>
      </w:divBdr>
    </w:div>
    <w:div w:id="2023820995">
      <w:bodyDiv w:val="1"/>
      <w:marLeft w:val="0"/>
      <w:marRight w:val="0"/>
      <w:marTop w:val="0"/>
      <w:marBottom w:val="0"/>
      <w:divBdr>
        <w:top w:val="none" w:sz="0" w:space="0" w:color="auto"/>
        <w:left w:val="none" w:sz="0" w:space="0" w:color="auto"/>
        <w:bottom w:val="none" w:sz="0" w:space="0" w:color="auto"/>
        <w:right w:val="none" w:sz="0" w:space="0" w:color="auto"/>
      </w:divBdr>
    </w:div>
    <w:div w:id="2111970754">
      <w:bodyDiv w:val="1"/>
      <w:marLeft w:val="0"/>
      <w:marRight w:val="0"/>
      <w:marTop w:val="0"/>
      <w:marBottom w:val="0"/>
      <w:divBdr>
        <w:top w:val="none" w:sz="0" w:space="0" w:color="auto"/>
        <w:left w:val="none" w:sz="0" w:space="0" w:color="auto"/>
        <w:bottom w:val="none" w:sz="0" w:space="0" w:color="auto"/>
        <w:right w:val="none" w:sz="0" w:space="0" w:color="auto"/>
      </w:divBdr>
    </w:div>
    <w:div w:id="2122726870">
      <w:bodyDiv w:val="1"/>
      <w:marLeft w:val="0"/>
      <w:marRight w:val="0"/>
      <w:marTop w:val="0"/>
      <w:marBottom w:val="0"/>
      <w:divBdr>
        <w:top w:val="none" w:sz="0" w:space="0" w:color="auto"/>
        <w:left w:val="none" w:sz="0" w:space="0" w:color="auto"/>
        <w:bottom w:val="none" w:sz="0" w:space="0" w:color="auto"/>
        <w:right w:val="none" w:sz="0" w:space="0" w:color="auto"/>
      </w:divBdr>
    </w:div>
    <w:div w:id="21463906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zso.cz/csu/czso/hdp_cr" TargetMode="External"/><Relationship Id="rId18" Type="http://schemas.openxmlformats.org/officeDocument/2006/relationships/image" Target="media/image7.emf"/><Relationship Id="rId26" Type="http://schemas.openxmlformats.org/officeDocument/2006/relationships/image" Target="media/image14.emf"/><Relationship Id="rId39" Type="http://schemas.openxmlformats.org/officeDocument/2006/relationships/image" Target="media/image27.emf"/><Relationship Id="rId3" Type="http://schemas.openxmlformats.org/officeDocument/2006/relationships/styles" Target="styles.xml"/><Relationship Id="rId21" Type="http://schemas.openxmlformats.org/officeDocument/2006/relationships/image" Target="media/image9.emf"/><Relationship Id="rId34" Type="http://schemas.openxmlformats.org/officeDocument/2006/relationships/image" Target="media/image22.emf"/><Relationship Id="rId42" Type="http://schemas.openxmlformats.org/officeDocument/2006/relationships/image" Target="media/image30.emf"/><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yperlink" Target="https://www.czso.cz/csu/czso/specialiste-v-oblasti-vedy-a-techniky-a-jejich-mzdy" TargetMode="External"/><Relationship Id="rId25" Type="http://schemas.openxmlformats.org/officeDocument/2006/relationships/image" Target="media/image13.emf"/><Relationship Id="rId33" Type="http://schemas.openxmlformats.org/officeDocument/2006/relationships/image" Target="media/image21.emf"/><Relationship Id="rId38" Type="http://schemas.openxmlformats.org/officeDocument/2006/relationships/image" Target="media/image26.emf"/><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8.png"/><Relationship Id="rId29" Type="http://schemas.openxmlformats.org/officeDocument/2006/relationships/image" Target="media/image17.emf"/><Relationship Id="rId41" Type="http://schemas.openxmlformats.org/officeDocument/2006/relationships/image" Target="media/image2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zso.cz/csu/czso/hdp_cr" TargetMode="External"/><Relationship Id="rId24" Type="http://schemas.openxmlformats.org/officeDocument/2006/relationships/image" Target="media/image12.emf"/><Relationship Id="rId32" Type="http://schemas.openxmlformats.org/officeDocument/2006/relationships/image" Target="media/image20.emf"/><Relationship Id="rId37" Type="http://schemas.openxmlformats.org/officeDocument/2006/relationships/image" Target="media/image25.emf"/><Relationship Id="rId40" Type="http://schemas.openxmlformats.org/officeDocument/2006/relationships/image" Target="media/image28.emf"/><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czso.cz/csu/czso/1-ukazatele-vav-za-ceskou-republiku-celkem-xc9pxijf9k" TargetMode="External"/><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image" Target="media/image24.emf"/><Relationship Id="rId49" Type="http://schemas.openxmlformats.org/officeDocument/2006/relationships/hyperlink" Target="http://s3platform.jrc.ec.europa.eu/documents/20182/154972/S3PbookletFINAL-RE-EDITION.pdf/cc71c8a8-6722-4816-836e-014c24df185f" TargetMode="External"/><Relationship Id="rId10" Type="http://schemas.openxmlformats.org/officeDocument/2006/relationships/image" Target="media/image3.emf"/><Relationship Id="rId19" Type="http://schemas.openxmlformats.org/officeDocument/2006/relationships/hyperlink" Target="https://www.czso.cz/csu/czso/specialiste-v-oblasti-vedy-a-techniky-a-jejich-mzdy" TargetMode="External"/><Relationship Id="rId31" Type="http://schemas.openxmlformats.org/officeDocument/2006/relationships/image" Target="media/image19.emf"/><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emf"/><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emf"/><Relationship Id="rId35" Type="http://schemas.openxmlformats.org/officeDocument/2006/relationships/image" Target="media/image23.emf"/><Relationship Id="rId43" Type="http://schemas.openxmlformats.org/officeDocument/2006/relationships/header" Target="header1.xml"/><Relationship Id="rId48" Type="http://schemas.openxmlformats.org/officeDocument/2006/relationships/hyperlink" Target="http://www.czso.cz" TargetMode="External"/><Relationship Id="rId8" Type="http://schemas.openxmlformats.org/officeDocument/2006/relationships/image" Target="media/image1.emf"/><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3platform.jrc.ec.europa.eu/" TargetMode="External"/><Relationship Id="rId3" Type="http://schemas.openxmlformats.org/officeDocument/2006/relationships/hyperlink" Target="https://www.mfcr.cz/cs/verejny-sektor/makroekonomika/makroekonomicka-predikce/2018/46-kolokvium-setreni-prognoz-makroekono-33602" TargetMode="External"/><Relationship Id="rId7" Type="http://schemas.openxmlformats.org/officeDocument/2006/relationships/hyperlink" Target="http://s3platform.jrc.ec.europa.eu/documents/20182/154972/S3PbookletFINAL-RE-EDITION.pdf/cc71c8a8-6722-4816-836e-014c24df185f" TargetMode="External"/><Relationship Id="rId2" Type="http://schemas.openxmlformats.org/officeDocument/2006/relationships/hyperlink" Target="http://s3platform.jrc.ec.europa.eu/documents/20182/141136/Econ_Transformation_Strats_ROrtegaArgil%C3%A9s.pdf" TargetMode="External"/><Relationship Id="rId1" Type="http://schemas.openxmlformats.org/officeDocument/2006/relationships/hyperlink" Target="http://s3platform.jrc.ec.europa.eu" TargetMode="External"/><Relationship Id="rId6" Type="http://schemas.openxmlformats.org/officeDocument/2006/relationships/hyperlink" Target="http://www.czso.cz" TargetMode="External"/><Relationship Id="rId5" Type="http://schemas.openxmlformats.org/officeDocument/2006/relationships/hyperlink" Target="https://www.slideshare.net/deloresbarnhill/entrepreneurial-discovery-and-environmental-scanning" TargetMode="External"/><Relationship Id="rId4" Type="http://schemas.openxmlformats.org/officeDocument/2006/relationships/hyperlink" Target="http://ec.europa.eu/research/industrial_technologies/pdf/re_finding_industry_022018.pdf" TargetMode="External"/><Relationship Id="rId9" Type="http://schemas.openxmlformats.org/officeDocument/2006/relationships/hyperlink" Target="http://s3platform.jrc.ec.europa.eu/entrepreneurial-discovery-ed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2D4A4C-2D3A-4126-9754-97DB5BEBB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E00A8A03</Template>
  <TotalTime>0</TotalTime>
  <Pages>1</Pages>
  <Words>25559</Words>
  <Characters>150802</Characters>
  <Application>Microsoft Office Word</Application>
  <DocSecurity>0</DocSecurity>
  <Lines>1256</Lines>
  <Paragraphs>352</Paragraphs>
  <ScaleCrop>false</ScaleCrop>
  <HeadingPairs>
    <vt:vector size="2" baseType="variant">
      <vt:variant>
        <vt:lpstr>Název</vt:lpstr>
      </vt:variant>
      <vt:variant>
        <vt:i4>1</vt:i4>
      </vt:variant>
    </vt:vector>
  </HeadingPairs>
  <TitlesOfParts>
    <vt:vector size="1" baseType="lpstr">
      <vt:lpstr/>
    </vt:vector>
  </TitlesOfParts>
  <Company>RP</Company>
  <LinksUpToDate>false</LinksUpToDate>
  <CharactersWithSpaces>176009</CharactersWithSpaces>
  <SharedDoc>false</SharedDoc>
  <HLinks>
    <vt:vector size="78" baseType="variant">
      <vt:variant>
        <vt:i4>720990</vt:i4>
      </vt:variant>
      <vt:variant>
        <vt:i4>126</vt:i4>
      </vt:variant>
      <vt:variant>
        <vt:i4>0</vt:i4>
      </vt:variant>
      <vt:variant>
        <vt:i4>5</vt:i4>
      </vt:variant>
      <vt:variant>
        <vt:lpwstr>http://www.prahafondy.eu/</vt:lpwstr>
      </vt:variant>
      <vt:variant>
        <vt:lpwstr/>
      </vt:variant>
      <vt:variant>
        <vt:i4>2490459</vt:i4>
      </vt:variant>
      <vt:variant>
        <vt:i4>114</vt:i4>
      </vt:variant>
      <vt:variant>
        <vt:i4>0</vt:i4>
      </vt:variant>
      <vt:variant>
        <vt:i4>5</vt:i4>
      </vt:variant>
      <vt:variant>
        <vt:lpwstr>mailto:renata.vaclavkova@vsb.cz</vt:lpwstr>
      </vt:variant>
      <vt:variant>
        <vt:lpwstr/>
      </vt:variant>
      <vt:variant>
        <vt:i4>655381</vt:i4>
      </vt:variant>
      <vt:variant>
        <vt:i4>111</vt:i4>
      </vt:variant>
      <vt:variant>
        <vt:i4>0</vt:i4>
      </vt:variant>
      <vt:variant>
        <vt:i4>5</vt:i4>
      </vt:variant>
      <vt:variant>
        <vt:lpwstr>http://www.regiopartner.cz/cz/zpracovani-analyz-a-podkladovych-materialu-pro-pripravu-strategie-regionalniho-rozvoje-cr-pro-obdobi-2014%E2%80%932020-1404041701.html</vt:lpwstr>
      </vt:variant>
      <vt:variant>
        <vt:lpwstr/>
      </vt:variant>
      <vt:variant>
        <vt:i4>4784139</vt:i4>
      </vt:variant>
      <vt:variant>
        <vt:i4>108</vt:i4>
      </vt:variant>
      <vt:variant>
        <vt:i4>0</vt:i4>
      </vt:variant>
      <vt:variant>
        <vt:i4>5</vt:i4>
      </vt:variant>
      <vt:variant>
        <vt:lpwstr>http://www.regiopartner.cz/cz/zhodnoceni-prinosu-projektu-rop-sz-1404041914.html</vt:lpwstr>
      </vt:variant>
      <vt:variant>
        <vt:lpwstr/>
      </vt:variant>
      <vt:variant>
        <vt:i4>1048690</vt:i4>
      </vt:variant>
      <vt:variant>
        <vt:i4>105</vt:i4>
      </vt:variant>
      <vt:variant>
        <vt:i4>0</vt:i4>
      </vt:variant>
      <vt:variant>
        <vt:i4>5</vt:i4>
      </vt:variant>
      <vt:variant>
        <vt:lpwstr>mailto:michal.ulrich@regiopartner.cz</vt:lpwstr>
      </vt:variant>
      <vt:variant>
        <vt:lpwstr/>
      </vt:variant>
      <vt:variant>
        <vt:i4>8257644</vt:i4>
      </vt:variant>
      <vt:variant>
        <vt:i4>102</vt:i4>
      </vt:variant>
      <vt:variant>
        <vt:i4>0</vt:i4>
      </vt:variant>
      <vt:variant>
        <vt:i4>5</vt:i4>
      </vt:variant>
      <vt:variant>
        <vt:lpwstr>http://www.adviser-euro.cz/</vt:lpwstr>
      </vt:variant>
      <vt:variant>
        <vt:lpwstr/>
      </vt:variant>
      <vt:variant>
        <vt:i4>7667745</vt:i4>
      </vt:variant>
      <vt:variant>
        <vt:i4>99</vt:i4>
      </vt:variant>
      <vt:variant>
        <vt:i4>0</vt:i4>
      </vt:variant>
      <vt:variant>
        <vt:i4>5</vt:i4>
      </vt:variant>
      <vt:variant>
        <vt:lpwstr>http://www.regiopartner.cz/</vt:lpwstr>
      </vt:variant>
      <vt:variant>
        <vt:lpwstr/>
      </vt:variant>
      <vt:variant>
        <vt:i4>917612</vt:i4>
      </vt:variant>
      <vt:variant>
        <vt:i4>96</vt:i4>
      </vt:variant>
      <vt:variant>
        <vt:i4>0</vt:i4>
      </vt:variant>
      <vt:variant>
        <vt:i4>5</vt:i4>
      </vt:variant>
      <vt:variant>
        <vt:lpwstr>mailto:stepan.kodera@regiopartner.cz</vt:lpwstr>
      </vt:variant>
      <vt:variant>
        <vt:lpwstr/>
      </vt:variant>
      <vt:variant>
        <vt:i4>2097230</vt:i4>
      </vt:variant>
      <vt:variant>
        <vt:i4>93</vt:i4>
      </vt:variant>
      <vt:variant>
        <vt:i4>0</vt:i4>
      </vt:variant>
      <vt:variant>
        <vt:i4>5</vt:i4>
      </vt:variant>
      <vt:variant>
        <vt:lpwstr>mailto:lucie.bucinova@regiopartner.cz</vt:lpwstr>
      </vt:variant>
      <vt:variant>
        <vt:lpwstr/>
      </vt:variant>
      <vt:variant>
        <vt:i4>10944566</vt:i4>
      </vt:variant>
      <vt:variant>
        <vt:i4>87</vt:i4>
      </vt:variant>
      <vt:variant>
        <vt:i4>0</vt:i4>
      </vt:variant>
      <vt:variant>
        <vt:i4>5</vt:i4>
      </vt:variant>
      <vt:variant>
        <vt:lpwstr>C:\Documents and Settings\Uzivatel\Data aplikací\Microsoft\Word\www.regiopartner.cz</vt:lpwstr>
      </vt:variant>
      <vt:variant>
        <vt:lpwstr/>
      </vt:variant>
      <vt:variant>
        <vt:i4>8650866</vt:i4>
      </vt:variant>
      <vt:variant>
        <vt:i4>84</vt:i4>
      </vt:variant>
      <vt:variant>
        <vt:i4>0</vt:i4>
      </vt:variant>
      <vt:variant>
        <vt:i4>5</vt:i4>
      </vt:variant>
      <vt:variant>
        <vt:lpwstr>C:\Documents and Settings\Uzivatel\Data aplikací\Microsoft\Word\barbora.kurkova@nuts2severozapad.cz</vt:lpwstr>
      </vt:variant>
      <vt:variant>
        <vt:lpwstr/>
      </vt:variant>
      <vt:variant>
        <vt:i4>2097230</vt:i4>
      </vt:variant>
      <vt:variant>
        <vt:i4>78</vt:i4>
      </vt:variant>
      <vt:variant>
        <vt:i4>0</vt:i4>
      </vt:variant>
      <vt:variant>
        <vt:i4>5</vt:i4>
      </vt:variant>
      <vt:variant>
        <vt:lpwstr>mailto:lucie.bucinova@regiopartner.cz</vt:lpwstr>
      </vt:variant>
      <vt:variant>
        <vt:lpwstr/>
      </vt:variant>
      <vt:variant>
        <vt:i4>5636135</vt:i4>
      </vt:variant>
      <vt:variant>
        <vt:i4>75</vt:i4>
      </vt:variant>
      <vt:variant>
        <vt:i4>0</vt:i4>
      </vt:variant>
      <vt:variant>
        <vt:i4>5</vt:i4>
      </vt:variant>
      <vt:variant>
        <vt:lpwstr>mailto:jana.prikopova@praha.eu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Dužár</dc:creator>
  <cp:lastModifiedBy>Nepomucká Markéta</cp:lastModifiedBy>
  <cp:revision>3</cp:revision>
  <cp:lastPrinted>2019-04-01T07:02:00Z</cp:lastPrinted>
  <dcterms:created xsi:type="dcterms:W3CDTF">2019-05-14T09:55:00Z</dcterms:created>
  <dcterms:modified xsi:type="dcterms:W3CDTF">2019-05-14T09:55:00Z</dcterms:modified>
</cp:coreProperties>
</file>